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7D" w:rsidRPr="007E35DF" w:rsidRDefault="00B23C7D" w:rsidP="00B23C7D">
      <w:pPr>
        <w:adjustRightInd w:val="0"/>
        <w:snapToGrid w:val="0"/>
        <w:spacing w:afterLines="50" w:after="156" w:line="440" w:lineRule="exact"/>
        <w:jc w:val="center"/>
        <w:rPr>
          <w:rFonts w:ascii="Times New Roman" w:eastAsia="方正小标宋简体" w:hAnsi="Times New Roman"/>
          <w:kern w:val="0"/>
          <w:sz w:val="30"/>
          <w:szCs w:val="30"/>
        </w:rPr>
      </w:pPr>
      <w:r w:rsidRPr="007E35DF">
        <w:rPr>
          <w:rFonts w:ascii="Times New Roman" w:eastAsia="方正小标宋简体" w:hAnsi="Times New Roman"/>
          <w:sz w:val="30"/>
          <w:szCs w:val="30"/>
        </w:rPr>
        <w:t>表</w:t>
      </w:r>
      <w:r w:rsidRPr="007E35DF">
        <w:rPr>
          <w:rFonts w:ascii="Times New Roman" w:eastAsia="方正小标宋简体" w:hAnsi="Times New Roman"/>
          <w:sz w:val="30"/>
          <w:szCs w:val="30"/>
        </w:rPr>
        <w:t>3</w:t>
      </w:r>
      <w:r>
        <w:rPr>
          <w:rFonts w:ascii="Times New Roman" w:eastAsia="方正小标宋简体" w:hAnsi="Times New Roman" w:hint="eastAsia"/>
          <w:sz w:val="30"/>
          <w:szCs w:val="30"/>
        </w:rPr>
        <w:t xml:space="preserve">  </w:t>
      </w:r>
      <w:r w:rsidRPr="007E35DF">
        <w:rPr>
          <w:rFonts w:ascii="Times New Roman" w:eastAsia="方正小标宋简体" w:hAnsi="Times New Roman"/>
          <w:sz w:val="30"/>
          <w:szCs w:val="30"/>
        </w:rPr>
        <w:t>陕西省</w:t>
      </w:r>
      <w:r w:rsidRPr="007E35DF">
        <w:rPr>
          <w:rFonts w:ascii="Times New Roman" w:eastAsia="方正小标宋简体" w:hAnsi="Times New Roman"/>
          <w:sz w:val="30"/>
          <w:szCs w:val="30"/>
        </w:rPr>
        <w:t>30</w:t>
      </w:r>
      <w:r w:rsidRPr="007E35DF">
        <w:rPr>
          <w:rFonts w:ascii="Times New Roman" w:eastAsia="方正小标宋简体" w:hAnsi="Times New Roman"/>
          <w:sz w:val="30"/>
          <w:szCs w:val="30"/>
        </w:rPr>
        <w:t>个县</w:t>
      </w:r>
      <w:r w:rsidRPr="007E35DF">
        <w:rPr>
          <w:rFonts w:ascii="Times New Roman" w:eastAsia="方正小标宋简体" w:hAnsi="Times New Roman"/>
          <w:kern w:val="0"/>
          <w:sz w:val="30"/>
          <w:szCs w:val="30"/>
        </w:rPr>
        <w:t>政府推进义务教育均衡发展工作得分情况表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791"/>
        <w:gridCol w:w="872"/>
        <w:gridCol w:w="794"/>
        <w:gridCol w:w="658"/>
        <w:gridCol w:w="700"/>
        <w:gridCol w:w="685"/>
        <w:gridCol w:w="621"/>
        <w:gridCol w:w="621"/>
        <w:gridCol w:w="621"/>
        <w:gridCol w:w="621"/>
        <w:gridCol w:w="622"/>
        <w:gridCol w:w="621"/>
        <w:gridCol w:w="621"/>
        <w:gridCol w:w="621"/>
        <w:gridCol w:w="533"/>
        <w:gridCol w:w="700"/>
        <w:gridCol w:w="630"/>
        <w:gridCol w:w="621"/>
        <w:gridCol w:w="736"/>
        <w:gridCol w:w="772"/>
      </w:tblGrid>
      <w:tr w:rsidR="00B23C7D" w:rsidRPr="007E35DF" w:rsidTr="00AD663C">
        <w:trPr>
          <w:trHeight w:val="1277"/>
          <w:tblHeader/>
          <w:jc w:val="center"/>
        </w:trPr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4BACC6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B23C7D" w:rsidRPr="007E35DF" w:rsidRDefault="00B23C7D" w:rsidP="00AD663C">
            <w:pPr>
              <w:wordWrap w:val="0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与</w:t>
            </w:r>
          </w:p>
          <w:p w:rsidR="00B23C7D" w:rsidRPr="007E35DF" w:rsidRDefault="00B23C7D" w:rsidP="00AD663C">
            <w:pPr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  <w:p w:rsidR="00B23C7D" w:rsidRPr="007E35DF" w:rsidRDefault="00B23C7D" w:rsidP="00AD663C">
            <w:pPr>
              <w:widowControl/>
              <w:spacing w:line="300" w:lineRule="exact"/>
              <w:ind w:right="-142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widowControl/>
              <w:spacing w:line="300" w:lineRule="exact"/>
              <w:ind w:right="-142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widowControl/>
              <w:spacing w:line="300" w:lineRule="exact"/>
              <w:ind w:right="-142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widowControl/>
              <w:spacing w:line="300" w:lineRule="exact"/>
              <w:ind w:right="-142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将进城务工人员随迁子女就学做到</w:t>
            </w:r>
            <w:r w:rsidRPr="007E35DF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“</w:t>
            </w: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两纳入</w:t>
            </w:r>
            <w:r w:rsidRPr="007E35DF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”</w:t>
            </w:r>
            <w:r w:rsidRPr="007E35DF">
              <w:rPr>
                <w:rFonts w:ascii="Times New Roman" w:hAnsi="宋体"/>
                <w:b/>
                <w:bCs/>
                <w:color w:val="000000"/>
                <w:sz w:val="18"/>
                <w:szCs w:val="18"/>
              </w:rPr>
              <w:t>（</w:t>
            </w: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7E35DF">
              <w:rPr>
                <w:rFonts w:ascii="Times New Roman" w:hAnsi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建立留守儿童关爱体系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三类残疾儿童少年入学率不低于</w:t>
            </w:r>
            <w:r w:rsidRPr="007E35DF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90%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优质普通高中招生名额分配比例逐步提高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建立义务教育均衡发展责任监督问责机制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义务教育经费近三年做到三个增长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推进学校标准化建设实施改薄计划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农村税费改革转移支付资金比例达标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全面实施义务教育绩效工资制度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学科教师配备合理师生比达标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建立并实施校长教师定期交流制度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落实教师培训经费加强教师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培训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开齐开足课程</w:t>
            </w: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巩固率达到</w:t>
            </w:r>
            <w:r w:rsidRPr="007E35DF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99.91%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学生体质健康测试及格率</w:t>
            </w:r>
            <w:r w:rsidRPr="007E35DF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85%</w:t>
            </w: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以上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无重点校重点班，遏制择校现象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中小学生过重课业负担明显减轻</w:t>
            </w:r>
          </w:p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b/>
                <w:bCs/>
                <w:color w:val="000000"/>
                <w:sz w:val="18"/>
                <w:szCs w:val="18"/>
              </w:rPr>
              <w:t>总分</w:t>
            </w:r>
            <w:r w:rsidRPr="007E35DF">
              <w:rPr>
                <w:rFonts w:ascii="Times New Roman" w:hAnsi="宋体"/>
                <w:b/>
                <w:bCs/>
                <w:color w:val="000000"/>
                <w:sz w:val="15"/>
                <w:szCs w:val="15"/>
              </w:rPr>
              <w:t>（</w:t>
            </w:r>
            <w:r w:rsidRPr="007E35DF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100</w:t>
            </w:r>
            <w:r w:rsidRPr="007E35DF">
              <w:rPr>
                <w:rFonts w:ascii="Times New Roman" w:hAnsi="宋体"/>
                <w:b/>
                <w:bCs/>
                <w:color w:val="000000"/>
                <w:sz w:val="15"/>
                <w:szCs w:val="15"/>
              </w:rPr>
              <w:t>）</w:t>
            </w:r>
          </w:p>
        </w:tc>
      </w:tr>
      <w:tr w:rsidR="00B23C7D" w:rsidRPr="007E35DF" w:rsidTr="00AD663C">
        <w:trPr>
          <w:trHeight w:val="163"/>
          <w:tblHeader/>
          <w:jc w:val="center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4BACC6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L8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L18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西安市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灞桥区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雁塔区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临潼区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周至县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铜川市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印台区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咸阳市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渭城区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泾阳县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乾县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礼泉县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永寿县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旬邑县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淳化县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渭南市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临渭区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华州区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澄城县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延安市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子长县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甘泉县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洛川县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汉中市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汉台区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城固县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洋县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镇巴县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榆林市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横山区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府谷县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佳县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吴堡县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清涧县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子洲县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安康市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紫阳县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</w:tr>
      <w:tr w:rsidR="00B23C7D" w:rsidRPr="007E35DF" w:rsidTr="00AD663C">
        <w:trPr>
          <w:trHeight w:val="369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宋体"/>
                <w:color w:val="000000"/>
                <w:sz w:val="18"/>
                <w:szCs w:val="18"/>
              </w:rPr>
              <w:t>岚皋县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3C7D" w:rsidRPr="007E35DF" w:rsidRDefault="00B23C7D" w:rsidP="00AD663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</w:tr>
    </w:tbl>
    <w:p w:rsidR="00B23C7D" w:rsidRPr="007E35DF" w:rsidRDefault="00B23C7D" w:rsidP="00B23C7D">
      <w:pPr>
        <w:adjustRightInd w:val="0"/>
        <w:snapToGrid w:val="0"/>
        <w:spacing w:afterLines="50" w:after="156" w:line="280" w:lineRule="exact"/>
        <w:ind w:firstLineChars="200" w:firstLine="560"/>
        <w:jc w:val="center"/>
        <w:rPr>
          <w:rFonts w:ascii="Times New Roman" w:eastAsia="黑体" w:hAnsi="Times New Roman"/>
          <w:kern w:val="0"/>
          <w:sz w:val="28"/>
          <w:szCs w:val="28"/>
        </w:rPr>
      </w:pPr>
    </w:p>
    <w:p w:rsidR="000C1EFE" w:rsidRDefault="000C1EFE">
      <w:bookmarkStart w:id="0" w:name="_GoBack"/>
      <w:bookmarkEnd w:id="0"/>
    </w:p>
    <w:sectPr w:rsidR="000C1EFE" w:rsidSect="00B23C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7D"/>
    <w:rsid w:val="000C1EFE"/>
    <w:rsid w:val="00B2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2017-12-08T00:55:00Z</dcterms:created>
  <dcterms:modified xsi:type="dcterms:W3CDTF">2017-12-08T00:55:00Z</dcterms:modified>
</cp:coreProperties>
</file>