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A5" w:rsidRDefault="00CD44A5" w:rsidP="00CD44A5">
      <w:pPr>
        <w:adjustRightInd w:val="0"/>
        <w:snapToGrid w:val="0"/>
        <w:spacing w:afterLines="50" w:after="156" w:line="440" w:lineRule="exact"/>
        <w:ind w:firstLineChars="200" w:firstLine="560"/>
        <w:jc w:val="center"/>
        <w:rPr>
          <w:rFonts w:eastAsia="黑体"/>
          <w:sz w:val="28"/>
          <w:szCs w:val="22"/>
        </w:rPr>
      </w:pPr>
      <w:r>
        <w:rPr>
          <w:rFonts w:eastAsia="黑体"/>
          <w:sz w:val="28"/>
          <w:szCs w:val="22"/>
        </w:rPr>
        <w:t>表</w:t>
      </w:r>
      <w:r>
        <w:rPr>
          <w:rFonts w:eastAsia="黑体"/>
          <w:sz w:val="28"/>
          <w:szCs w:val="22"/>
        </w:rPr>
        <w:t xml:space="preserve">3  </w:t>
      </w:r>
      <w:r>
        <w:rPr>
          <w:rFonts w:eastAsia="黑体"/>
          <w:sz w:val="28"/>
          <w:szCs w:val="22"/>
        </w:rPr>
        <w:t>新疆维吾尔自治区</w:t>
      </w:r>
      <w:r>
        <w:rPr>
          <w:rFonts w:eastAsia="黑体"/>
          <w:sz w:val="28"/>
          <w:szCs w:val="22"/>
        </w:rPr>
        <w:t>13</w:t>
      </w:r>
      <w:r>
        <w:rPr>
          <w:rFonts w:eastAsia="黑体"/>
          <w:sz w:val="28"/>
          <w:szCs w:val="22"/>
        </w:rPr>
        <w:t>个县政府推进义务教育均衡发展工作得分情况表</w:t>
      </w:r>
    </w:p>
    <w:p w:rsidR="00CD44A5" w:rsidRDefault="00CD44A5" w:rsidP="00CD44A5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3166"/>
        <w:gridCol w:w="916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CD44A5" w:rsidTr="00CC1EAA">
        <w:trPr>
          <w:trHeight w:val="480"/>
        </w:trPr>
        <w:tc>
          <w:tcPr>
            <w:tcW w:w="1125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一级指标</w:t>
            </w:r>
          </w:p>
        </w:tc>
        <w:tc>
          <w:tcPr>
            <w:tcW w:w="316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二级指标</w:t>
            </w:r>
          </w:p>
        </w:tc>
        <w:tc>
          <w:tcPr>
            <w:tcW w:w="916" w:type="dxa"/>
            <w:tcBorders>
              <w:tl2br w:val="single" w:sz="8" w:space="0" w:color="000000"/>
            </w:tcBorders>
            <w:vAlign w:val="center"/>
          </w:tcPr>
          <w:p w:rsidR="00CD44A5" w:rsidRDefault="00CD44A5" w:rsidP="00CC1EAA">
            <w:pPr>
              <w:autoSpaceDN w:val="0"/>
              <w:jc w:val="right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县</w:t>
            </w:r>
          </w:p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</w:p>
          <w:p w:rsidR="00CD44A5" w:rsidRDefault="00CD44A5" w:rsidP="00CC1EAA">
            <w:pPr>
              <w:autoSpaceDN w:val="0"/>
              <w:jc w:val="left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分值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精河县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库尔勒经济技术开发区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和硕县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伊宁县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巩留县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proofErr w:type="gramStart"/>
            <w:r>
              <w:rPr>
                <w:b/>
                <w:color w:val="000000"/>
                <w:sz w:val="20"/>
              </w:rPr>
              <w:t>乌苏市</w:t>
            </w:r>
            <w:proofErr w:type="gramEnd"/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吉木</w:t>
            </w:r>
          </w:p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乃县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喀什市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疏勒县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岳普</w:t>
            </w:r>
          </w:p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湖县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拜城县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新和县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沙雅县</w:t>
            </w:r>
          </w:p>
        </w:tc>
      </w:tr>
      <w:tr w:rsidR="00CD44A5" w:rsidTr="00CC1EAA">
        <w:trPr>
          <w:trHeight w:val="1417"/>
        </w:trPr>
        <w:tc>
          <w:tcPr>
            <w:tcW w:w="1125" w:type="dxa"/>
            <w:vMerge w:val="restart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入学机会（</w:t>
            </w:r>
            <w:r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分）</w:t>
            </w:r>
          </w:p>
        </w:tc>
        <w:tc>
          <w:tcPr>
            <w:tcW w:w="316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1. </w:t>
            </w:r>
            <w:r>
              <w:rPr>
                <w:color w:val="000000"/>
                <w:sz w:val="20"/>
              </w:rPr>
              <w:t>将进城务工人员随迁子女就学纳入当地教育发展规划，纳入财政保障体系。</w:t>
            </w:r>
          </w:p>
        </w:tc>
        <w:tc>
          <w:tcPr>
            <w:tcW w:w="91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</w:tr>
      <w:tr w:rsidR="00CD44A5" w:rsidTr="00CC1EAA">
        <w:trPr>
          <w:trHeight w:val="1417"/>
        </w:trPr>
        <w:tc>
          <w:tcPr>
            <w:tcW w:w="1125" w:type="dxa"/>
            <w:vMerge/>
            <w:vAlign w:val="center"/>
          </w:tcPr>
          <w:p w:rsidR="00CD44A5" w:rsidRDefault="00CD44A5" w:rsidP="00CC1EAA">
            <w:pPr>
              <w:jc w:val="center"/>
              <w:rPr>
                <w:sz w:val="20"/>
              </w:rPr>
            </w:pPr>
          </w:p>
        </w:tc>
        <w:tc>
          <w:tcPr>
            <w:tcW w:w="316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2. </w:t>
            </w:r>
            <w:r>
              <w:rPr>
                <w:color w:val="000000"/>
                <w:sz w:val="20"/>
              </w:rPr>
              <w:t>建立以政府为主导、社会各方面广泛参与的留守儿童关爱体系。</w:t>
            </w:r>
          </w:p>
        </w:tc>
        <w:tc>
          <w:tcPr>
            <w:tcW w:w="91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</w:tr>
      <w:tr w:rsidR="00CD44A5" w:rsidTr="00CC1EAA">
        <w:trPr>
          <w:trHeight w:val="1417"/>
        </w:trPr>
        <w:tc>
          <w:tcPr>
            <w:tcW w:w="1125" w:type="dxa"/>
            <w:vMerge/>
            <w:vAlign w:val="center"/>
          </w:tcPr>
          <w:p w:rsidR="00CD44A5" w:rsidRDefault="00CD44A5" w:rsidP="00CC1EAA">
            <w:pPr>
              <w:jc w:val="center"/>
              <w:rPr>
                <w:sz w:val="20"/>
              </w:rPr>
            </w:pPr>
          </w:p>
        </w:tc>
        <w:tc>
          <w:tcPr>
            <w:tcW w:w="316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3. </w:t>
            </w:r>
            <w:r>
              <w:rPr>
                <w:color w:val="000000"/>
                <w:sz w:val="20"/>
              </w:rPr>
              <w:t>三类残疾儿童少年入学率不低于</w:t>
            </w:r>
            <w:r>
              <w:rPr>
                <w:color w:val="000000"/>
                <w:sz w:val="20"/>
              </w:rPr>
              <w:t>80%</w:t>
            </w:r>
            <w:r>
              <w:rPr>
                <w:color w:val="000000"/>
                <w:sz w:val="20"/>
              </w:rPr>
              <w:t>。</w:t>
            </w:r>
          </w:p>
        </w:tc>
        <w:tc>
          <w:tcPr>
            <w:tcW w:w="91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5.7</w:t>
            </w:r>
          </w:p>
        </w:tc>
      </w:tr>
      <w:tr w:rsidR="00CD44A5" w:rsidTr="00CC1EAA">
        <w:trPr>
          <w:trHeight w:val="1417"/>
        </w:trPr>
        <w:tc>
          <w:tcPr>
            <w:tcW w:w="1125" w:type="dxa"/>
            <w:vMerge/>
            <w:vAlign w:val="center"/>
          </w:tcPr>
          <w:p w:rsidR="00CD44A5" w:rsidRDefault="00CD44A5" w:rsidP="00CC1EAA">
            <w:pPr>
              <w:jc w:val="center"/>
              <w:rPr>
                <w:sz w:val="20"/>
              </w:rPr>
            </w:pPr>
          </w:p>
        </w:tc>
        <w:tc>
          <w:tcPr>
            <w:tcW w:w="316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4.  </w:t>
            </w:r>
            <w:r>
              <w:rPr>
                <w:color w:val="000000"/>
                <w:sz w:val="20"/>
              </w:rPr>
              <w:t>优质普通高中招生名额分配到县域内各初中的比例逐步提高。</w:t>
            </w:r>
          </w:p>
        </w:tc>
        <w:tc>
          <w:tcPr>
            <w:tcW w:w="91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2.9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2.9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2.9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2.9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2.9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2.9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2.9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2.9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2.9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2.9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2.9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2.9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2.9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2.9</w:t>
            </w:r>
          </w:p>
        </w:tc>
      </w:tr>
      <w:tr w:rsidR="00CD44A5" w:rsidTr="00CC1EAA">
        <w:trPr>
          <w:trHeight w:val="1417"/>
        </w:trPr>
        <w:tc>
          <w:tcPr>
            <w:tcW w:w="1125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一级指标</w:t>
            </w:r>
          </w:p>
        </w:tc>
        <w:tc>
          <w:tcPr>
            <w:tcW w:w="316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二级指标</w:t>
            </w:r>
          </w:p>
        </w:tc>
        <w:tc>
          <w:tcPr>
            <w:tcW w:w="916" w:type="dxa"/>
            <w:tcBorders>
              <w:tl2br w:val="single" w:sz="8" w:space="0" w:color="000000"/>
            </w:tcBorders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</w:p>
          <w:p w:rsidR="00CD44A5" w:rsidRDefault="00CD44A5" w:rsidP="00CC1EAA">
            <w:pPr>
              <w:autoSpaceDN w:val="0"/>
              <w:jc w:val="right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县</w:t>
            </w:r>
          </w:p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</w:p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</w:p>
          <w:p w:rsidR="00CD44A5" w:rsidRDefault="00CD44A5" w:rsidP="00CC1EAA">
            <w:pPr>
              <w:autoSpaceDN w:val="0"/>
              <w:jc w:val="left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分值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精河县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库尔勒经济技术开发区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和硕县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伊宁县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巩留县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proofErr w:type="gramStart"/>
            <w:r>
              <w:rPr>
                <w:b/>
                <w:color w:val="000000"/>
                <w:sz w:val="20"/>
              </w:rPr>
              <w:t>乌苏市</w:t>
            </w:r>
            <w:proofErr w:type="gramEnd"/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吉木</w:t>
            </w:r>
          </w:p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乃县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喀什市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疏勒县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岳普</w:t>
            </w:r>
          </w:p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湖县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拜城县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新和县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沙雅县</w:t>
            </w:r>
          </w:p>
        </w:tc>
      </w:tr>
      <w:tr w:rsidR="00CD44A5" w:rsidTr="00CC1EAA">
        <w:trPr>
          <w:trHeight w:val="1587"/>
        </w:trPr>
        <w:tc>
          <w:tcPr>
            <w:tcW w:w="1125" w:type="dxa"/>
            <w:vMerge w:val="restart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保障机制（</w:t>
            </w:r>
            <w:r>
              <w:rPr>
                <w:color w:val="000000"/>
                <w:sz w:val="20"/>
              </w:rPr>
              <w:t>25</w:t>
            </w:r>
            <w:r>
              <w:rPr>
                <w:color w:val="000000"/>
                <w:sz w:val="20"/>
              </w:rPr>
              <w:t>分）</w:t>
            </w:r>
          </w:p>
        </w:tc>
        <w:tc>
          <w:tcPr>
            <w:tcW w:w="316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5. </w:t>
            </w:r>
            <w:r>
              <w:rPr>
                <w:color w:val="000000"/>
                <w:sz w:val="20"/>
              </w:rPr>
              <w:t>建立义务教育均衡发展责任、监督和问责机制。</w:t>
            </w:r>
          </w:p>
        </w:tc>
        <w:tc>
          <w:tcPr>
            <w:tcW w:w="91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6.3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6.3</w:t>
            </w:r>
          </w:p>
        </w:tc>
      </w:tr>
      <w:tr w:rsidR="00CD44A5" w:rsidTr="00CC1EAA">
        <w:trPr>
          <w:trHeight w:val="1587"/>
        </w:trPr>
        <w:tc>
          <w:tcPr>
            <w:tcW w:w="1125" w:type="dxa"/>
            <w:vMerge/>
            <w:vAlign w:val="center"/>
          </w:tcPr>
          <w:p w:rsidR="00CD44A5" w:rsidRDefault="00CD44A5" w:rsidP="00CC1EAA">
            <w:pPr>
              <w:jc w:val="center"/>
              <w:rPr>
                <w:sz w:val="20"/>
              </w:rPr>
            </w:pPr>
          </w:p>
        </w:tc>
        <w:tc>
          <w:tcPr>
            <w:tcW w:w="316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6. </w:t>
            </w:r>
            <w:r>
              <w:rPr>
                <w:color w:val="000000"/>
                <w:sz w:val="20"/>
              </w:rPr>
              <w:t>义务教育经费在财政预算中单列，近三年教育经费做到</w:t>
            </w:r>
            <w:r>
              <w:rPr>
                <w:color w:val="000000"/>
                <w:sz w:val="20"/>
              </w:rPr>
              <w:t>“</w:t>
            </w:r>
            <w:r>
              <w:rPr>
                <w:color w:val="000000"/>
                <w:sz w:val="20"/>
              </w:rPr>
              <w:t>三个增长</w:t>
            </w:r>
            <w:r>
              <w:rPr>
                <w:color w:val="000000"/>
                <w:sz w:val="20"/>
              </w:rPr>
              <w:t>”</w:t>
            </w:r>
            <w:r>
              <w:rPr>
                <w:color w:val="000000"/>
                <w:sz w:val="20"/>
              </w:rPr>
              <w:t>。</w:t>
            </w:r>
          </w:p>
        </w:tc>
        <w:tc>
          <w:tcPr>
            <w:tcW w:w="91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10.9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9.9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11.98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10.9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CD44A5" w:rsidTr="00CC1EAA">
        <w:trPr>
          <w:trHeight w:val="1587"/>
        </w:trPr>
        <w:tc>
          <w:tcPr>
            <w:tcW w:w="1125" w:type="dxa"/>
            <w:vMerge/>
            <w:vAlign w:val="center"/>
          </w:tcPr>
          <w:p w:rsidR="00CD44A5" w:rsidRDefault="00CD44A5" w:rsidP="00CC1EAA">
            <w:pPr>
              <w:jc w:val="center"/>
              <w:rPr>
                <w:sz w:val="20"/>
              </w:rPr>
            </w:pPr>
          </w:p>
        </w:tc>
        <w:tc>
          <w:tcPr>
            <w:tcW w:w="316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7. </w:t>
            </w:r>
            <w:r>
              <w:rPr>
                <w:color w:val="000000"/>
                <w:sz w:val="20"/>
              </w:rPr>
              <w:t>推进学校标准化建设，制定并有效实施了薄弱学校改造计划，财政性教育经费向薄弱学校倾斜。</w:t>
            </w:r>
          </w:p>
        </w:tc>
        <w:tc>
          <w:tcPr>
            <w:tcW w:w="91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2.5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</w:t>
            </w:r>
          </w:p>
        </w:tc>
      </w:tr>
      <w:tr w:rsidR="00CD44A5" w:rsidTr="00CC1EAA">
        <w:trPr>
          <w:trHeight w:val="1587"/>
        </w:trPr>
        <w:tc>
          <w:tcPr>
            <w:tcW w:w="1125" w:type="dxa"/>
            <w:vMerge/>
            <w:vAlign w:val="center"/>
          </w:tcPr>
          <w:p w:rsidR="00CD44A5" w:rsidRDefault="00CD44A5" w:rsidP="00CC1EAA">
            <w:pPr>
              <w:jc w:val="center"/>
              <w:rPr>
                <w:sz w:val="20"/>
              </w:rPr>
            </w:pPr>
          </w:p>
        </w:tc>
        <w:tc>
          <w:tcPr>
            <w:tcW w:w="316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8. </w:t>
            </w:r>
            <w:r>
              <w:rPr>
                <w:color w:val="000000"/>
                <w:sz w:val="20"/>
              </w:rPr>
              <w:t>农村税费改革转移支付资金用于义务教育的比例达到</w:t>
            </w:r>
            <w:proofErr w:type="gramStart"/>
            <w:r>
              <w:rPr>
                <w:color w:val="000000"/>
                <w:sz w:val="20"/>
              </w:rPr>
              <w:t>省级规定</w:t>
            </w:r>
            <w:proofErr w:type="gramEnd"/>
            <w:r>
              <w:rPr>
                <w:color w:val="000000"/>
                <w:sz w:val="20"/>
              </w:rPr>
              <w:t>要求。</w:t>
            </w:r>
          </w:p>
        </w:tc>
        <w:tc>
          <w:tcPr>
            <w:tcW w:w="91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3.1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3.1</w:t>
            </w:r>
          </w:p>
        </w:tc>
      </w:tr>
      <w:tr w:rsidR="00CD44A5" w:rsidTr="00CC1EAA">
        <w:trPr>
          <w:trHeight w:val="1417"/>
        </w:trPr>
        <w:tc>
          <w:tcPr>
            <w:tcW w:w="1125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一级指标</w:t>
            </w:r>
          </w:p>
        </w:tc>
        <w:tc>
          <w:tcPr>
            <w:tcW w:w="316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二级指标</w:t>
            </w:r>
          </w:p>
        </w:tc>
        <w:tc>
          <w:tcPr>
            <w:tcW w:w="916" w:type="dxa"/>
            <w:tcBorders>
              <w:tl2br w:val="single" w:sz="8" w:space="0" w:color="000000"/>
            </w:tcBorders>
            <w:vAlign w:val="center"/>
          </w:tcPr>
          <w:p w:rsidR="00CD44A5" w:rsidRDefault="00CD44A5" w:rsidP="00CC1EAA">
            <w:pPr>
              <w:autoSpaceDN w:val="0"/>
              <w:jc w:val="right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县</w:t>
            </w:r>
          </w:p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</w:p>
          <w:p w:rsidR="00CD44A5" w:rsidRDefault="00CD44A5" w:rsidP="00CC1EAA">
            <w:pPr>
              <w:autoSpaceDN w:val="0"/>
              <w:jc w:val="left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分值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精河县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库尔勒经济技术开发区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和硕县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伊宁县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巩留县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proofErr w:type="gramStart"/>
            <w:r>
              <w:rPr>
                <w:b/>
                <w:color w:val="000000"/>
                <w:sz w:val="20"/>
              </w:rPr>
              <w:t>乌苏市</w:t>
            </w:r>
            <w:proofErr w:type="gramEnd"/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吉木</w:t>
            </w:r>
          </w:p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乃县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喀什市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疏勒县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岳普</w:t>
            </w:r>
          </w:p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湖县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拜城县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新和县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沙雅县</w:t>
            </w:r>
          </w:p>
        </w:tc>
      </w:tr>
      <w:tr w:rsidR="00CD44A5" w:rsidTr="00CC1EAA">
        <w:trPr>
          <w:trHeight w:val="1587"/>
        </w:trPr>
        <w:tc>
          <w:tcPr>
            <w:tcW w:w="1125" w:type="dxa"/>
            <w:vMerge w:val="restart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队伍建设（</w:t>
            </w:r>
            <w:r>
              <w:rPr>
                <w:color w:val="000000"/>
                <w:sz w:val="20"/>
              </w:rPr>
              <w:t>35</w:t>
            </w:r>
            <w:r>
              <w:rPr>
                <w:color w:val="000000"/>
                <w:sz w:val="20"/>
              </w:rPr>
              <w:t>分）</w:t>
            </w:r>
          </w:p>
        </w:tc>
        <w:tc>
          <w:tcPr>
            <w:tcW w:w="316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9. </w:t>
            </w:r>
            <w:r>
              <w:rPr>
                <w:color w:val="000000"/>
                <w:sz w:val="20"/>
              </w:rPr>
              <w:t>全面实施义务教育绩效工资制度。</w:t>
            </w:r>
          </w:p>
        </w:tc>
        <w:tc>
          <w:tcPr>
            <w:tcW w:w="91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</w:tr>
      <w:tr w:rsidR="00CD44A5" w:rsidTr="00CC1EAA">
        <w:trPr>
          <w:trHeight w:val="1587"/>
        </w:trPr>
        <w:tc>
          <w:tcPr>
            <w:tcW w:w="1125" w:type="dxa"/>
            <w:vMerge/>
            <w:vAlign w:val="center"/>
          </w:tcPr>
          <w:p w:rsidR="00CD44A5" w:rsidRDefault="00CD44A5" w:rsidP="00CC1EAA">
            <w:pPr>
              <w:jc w:val="center"/>
              <w:rPr>
                <w:sz w:val="20"/>
              </w:rPr>
            </w:pPr>
          </w:p>
        </w:tc>
        <w:tc>
          <w:tcPr>
            <w:tcW w:w="316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10. </w:t>
            </w:r>
            <w:r>
              <w:rPr>
                <w:color w:val="000000"/>
                <w:sz w:val="20"/>
              </w:rPr>
              <w:t>义务教育学校学科教师配备合理，生师比达到省定编制标准。</w:t>
            </w:r>
          </w:p>
        </w:tc>
        <w:tc>
          <w:tcPr>
            <w:tcW w:w="91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</w:tr>
      <w:tr w:rsidR="00CD44A5" w:rsidTr="00CC1EAA">
        <w:trPr>
          <w:trHeight w:val="1587"/>
        </w:trPr>
        <w:tc>
          <w:tcPr>
            <w:tcW w:w="1125" w:type="dxa"/>
            <w:vMerge/>
            <w:vAlign w:val="center"/>
          </w:tcPr>
          <w:p w:rsidR="00CD44A5" w:rsidRDefault="00CD44A5" w:rsidP="00CC1EAA">
            <w:pPr>
              <w:jc w:val="center"/>
              <w:rPr>
                <w:sz w:val="20"/>
              </w:rPr>
            </w:pPr>
          </w:p>
        </w:tc>
        <w:tc>
          <w:tcPr>
            <w:tcW w:w="316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11.  </w:t>
            </w:r>
            <w:r>
              <w:rPr>
                <w:color w:val="000000"/>
                <w:sz w:val="20"/>
              </w:rPr>
              <w:t>建立并有效实施了县域内义务教育学校校长和教师定期交流制度。</w:t>
            </w:r>
          </w:p>
        </w:tc>
        <w:tc>
          <w:tcPr>
            <w:tcW w:w="91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7.88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8.46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</w:tr>
      <w:tr w:rsidR="00CD44A5" w:rsidTr="00CC1EAA">
        <w:trPr>
          <w:trHeight w:val="1587"/>
        </w:trPr>
        <w:tc>
          <w:tcPr>
            <w:tcW w:w="1125" w:type="dxa"/>
            <w:vMerge/>
            <w:vAlign w:val="center"/>
          </w:tcPr>
          <w:p w:rsidR="00CD44A5" w:rsidRDefault="00CD44A5" w:rsidP="00CC1EAA">
            <w:pPr>
              <w:jc w:val="center"/>
              <w:rPr>
                <w:sz w:val="20"/>
              </w:rPr>
            </w:pPr>
          </w:p>
        </w:tc>
        <w:tc>
          <w:tcPr>
            <w:tcW w:w="316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12. </w:t>
            </w:r>
            <w:r>
              <w:rPr>
                <w:color w:val="000000"/>
                <w:sz w:val="20"/>
              </w:rPr>
              <w:t>落实教师培训经费，加强教师培训。</w:t>
            </w:r>
          </w:p>
        </w:tc>
        <w:tc>
          <w:tcPr>
            <w:tcW w:w="91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7.29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8.17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7.29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7.29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7.29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8.46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8.75</w:t>
            </w:r>
          </w:p>
        </w:tc>
      </w:tr>
      <w:tr w:rsidR="00CD44A5" w:rsidTr="00CC1EAA">
        <w:trPr>
          <w:trHeight w:val="1290"/>
        </w:trPr>
        <w:tc>
          <w:tcPr>
            <w:tcW w:w="1125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一级指标</w:t>
            </w:r>
          </w:p>
        </w:tc>
        <w:tc>
          <w:tcPr>
            <w:tcW w:w="316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二级指标</w:t>
            </w:r>
          </w:p>
        </w:tc>
        <w:tc>
          <w:tcPr>
            <w:tcW w:w="916" w:type="dxa"/>
            <w:tcBorders>
              <w:tl2br w:val="single" w:sz="8" w:space="0" w:color="000000"/>
            </w:tcBorders>
            <w:vAlign w:val="center"/>
          </w:tcPr>
          <w:p w:rsidR="00CD44A5" w:rsidRDefault="00CD44A5" w:rsidP="00CC1EAA">
            <w:pPr>
              <w:autoSpaceDN w:val="0"/>
              <w:jc w:val="right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县</w:t>
            </w:r>
          </w:p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</w:p>
          <w:p w:rsidR="00CD44A5" w:rsidRDefault="00CD44A5" w:rsidP="00CC1EAA">
            <w:pPr>
              <w:autoSpaceDN w:val="0"/>
              <w:jc w:val="left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分值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精河县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库尔勒经济技术开发区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和硕县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伊宁县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巩留县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proofErr w:type="gramStart"/>
            <w:r>
              <w:rPr>
                <w:b/>
                <w:color w:val="000000"/>
                <w:sz w:val="20"/>
              </w:rPr>
              <w:t>乌苏市</w:t>
            </w:r>
            <w:proofErr w:type="gramEnd"/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吉木</w:t>
            </w:r>
          </w:p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乃县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喀什市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疏勒县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岳普</w:t>
            </w:r>
          </w:p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湖县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拜城县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新和县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沙雅县</w:t>
            </w:r>
          </w:p>
        </w:tc>
      </w:tr>
      <w:tr w:rsidR="00CD44A5" w:rsidTr="00CC1EAA">
        <w:trPr>
          <w:trHeight w:val="1134"/>
        </w:trPr>
        <w:tc>
          <w:tcPr>
            <w:tcW w:w="1125" w:type="dxa"/>
            <w:vMerge w:val="restart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质量与管理（</w:t>
            </w:r>
            <w:r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分）</w:t>
            </w:r>
          </w:p>
        </w:tc>
        <w:tc>
          <w:tcPr>
            <w:tcW w:w="316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13. </w:t>
            </w:r>
            <w:r>
              <w:rPr>
                <w:color w:val="000000"/>
                <w:sz w:val="20"/>
              </w:rPr>
              <w:t>按照国家规定的义务教育课程方案开齐开足课程。</w:t>
            </w:r>
          </w:p>
        </w:tc>
        <w:tc>
          <w:tcPr>
            <w:tcW w:w="91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3.6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3.8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3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3.8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3.4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3.6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3.6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3.8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3.6</w:t>
            </w:r>
          </w:p>
        </w:tc>
      </w:tr>
      <w:tr w:rsidR="00CD44A5" w:rsidTr="00CC1EAA">
        <w:trPr>
          <w:trHeight w:val="1134"/>
        </w:trPr>
        <w:tc>
          <w:tcPr>
            <w:tcW w:w="1125" w:type="dxa"/>
            <w:vMerge/>
            <w:vAlign w:val="center"/>
          </w:tcPr>
          <w:p w:rsidR="00CD44A5" w:rsidRDefault="00CD44A5" w:rsidP="00CC1EAA">
            <w:pPr>
              <w:jc w:val="center"/>
              <w:rPr>
                <w:sz w:val="20"/>
              </w:rPr>
            </w:pPr>
          </w:p>
        </w:tc>
        <w:tc>
          <w:tcPr>
            <w:tcW w:w="316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14. </w:t>
            </w:r>
            <w:r>
              <w:rPr>
                <w:color w:val="000000"/>
                <w:sz w:val="20"/>
              </w:rPr>
              <w:t>小学、初中巩固率达到</w:t>
            </w:r>
            <w:proofErr w:type="gramStart"/>
            <w:r>
              <w:rPr>
                <w:color w:val="000000"/>
                <w:sz w:val="20"/>
              </w:rPr>
              <w:t>省级规定</w:t>
            </w:r>
            <w:proofErr w:type="gramEnd"/>
            <w:r>
              <w:rPr>
                <w:color w:val="000000"/>
                <w:sz w:val="20"/>
              </w:rPr>
              <w:t>标准。</w:t>
            </w:r>
          </w:p>
        </w:tc>
        <w:tc>
          <w:tcPr>
            <w:tcW w:w="91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</w:tr>
      <w:tr w:rsidR="00CD44A5" w:rsidTr="00CC1EAA">
        <w:trPr>
          <w:trHeight w:val="1134"/>
        </w:trPr>
        <w:tc>
          <w:tcPr>
            <w:tcW w:w="1125" w:type="dxa"/>
            <w:vMerge/>
            <w:vAlign w:val="center"/>
          </w:tcPr>
          <w:p w:rsidR="00CD44A5" w:rsidRDefault="00CD44A5" w:rsidP="00CC1EAA">
            <w:pPr>
              <w:jc w:val="center"/>
              <w:rPr>
                <w:sz w:val="20"/>
              </w:rPr>
            </w:pPr>
          </w:p>
        </w:tc>
        <w:tc>
          <w:tcPr>
            <w:tcW w:w="316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15. </w:t>
            </w:r>
            <w:r>
              <w:rPr>
                <w:color w:val="000000"/>
                <w:sz w:val="20"/>
              </w:rPr>
              <w:t>小学、初中学生体质健康及格率达到</w:t>
            </w:r>
            <w:proofErr w:type="gramStart"/>
            <w:r>
              <w:rPr>
                <w:color w:val="000000"/>
                <w:sz w:val="20"/>
              </w:rPr>
              <w:t>省级规定</w:t>
            </w:r>
            <w:proofErr w:type="gramEnd"/>
            <w:r>
              <w:rPr>
                <w:color w:val="000000"/>
                <w:sz w:val="20"/>
              </w:rPr>
              <w:t>标准。</w:t>
            </w:r>
          </w:p>
        </w:tc>
        <w:tc>
          <w:tcPr>
            <w:tcW w:w="91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3.8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3.6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3.8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3.8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3.6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3.6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3.8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3.8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3.3</w:t>
            </w:r>
          </w:p>
        </w:tc>
      </w:tr>
      <w:tr w:rsidR="00CD44A5" w:rsidTr="00CC1EAA">
        <w:trPr>
          <w:trHeight w:val="1134"/>
        </w:trPr>
        <w:tc>
          <w:tcPr>
            <w:tcW w:w="1125" w:type="dxa"/>
            <w:vMerge/>
            <w:vAlign w:val="center"/>
          </w:tcPr>
          <w:p w:rsidR="00CD44A5" w:rsidRDefault="00CD44A5" w:rsidP="00CC1EAA">
            <w:pPr>
              <w:jc w:val="center"/>
              <w:rPr>
                <w:sz w:val="20"/>
              </w:rPr>
            </w:pPr>
          </w:p>
        </w:tc>
        <w:tc>
          <w:tcPr>
            <w:tcW w:w="316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16. </w:t>
            </w:r>
            <w:r>
              <w:rPr>
                <w:color w:val="000000"/>
                <w:sz w:val="20"/>
              </w:rPr>
              <w:t>义务教育阶段不存在重点校和重点班，公办义务教育择校现象得到基本遏制。</w:t>
            </w:r>
          </w:p>
        </w:tc>
        <w:tc>
          <w:tcPr>
            <w:tcW w:w="91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4.0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</w:tr>
      <w:tr w:rsidR="00CD44A5" w:rsidTr="00CC1EAA">
        <w:trPr>
          <w:trHeight w:val="1134"/>
        </w:trPr>
        <w:tc>
          <w:tcPr>
            <w:tcW w:w="1125" w:type="dxa"/>
            <w:vMerge/>
            <w:vAlign w:val="center"/>
          </w:tcPr>
          <w:p w:rsidR="00CD44A5" w:rsidRDefault="00CD44A5" w:rsidP="00CC1EAA">
            <w:pPr>
              <w:jc w:val="center"/>
              <w:rPr>
                <w:sz w:val="20"/>
              </w:rPr>
            </w:pPr>
          </w:p>
        </w:tc>
        <w:tc>
          <w:tcPr>
            <w:tcW w:w="316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17. </w:t>
            </w:r>
            <w:r>
              <w:rPr>
                <w:color w:val="000000"/>
                <w:sz w:val="20"/>
              </w:rPr>
              <w:t>中小学生过重的课业负担得到有效减轻。</w:t>
            </w:r>
          </w:p>
        </w:tc>
        <w:tc>
          <w:tcPr>
            <w:tcW w:w="91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3.8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3.6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3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3.8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3.8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3.6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3.4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3.8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3.8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3.8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3.6</w:t>
            </w:r>
          </w:p>
        </w:tc>
      </w:tr>
      <w:tr w:rsidR="00CD44A5" w:rsidTr="00CC1EAA">
        <w:trPr>
          <w:trHeight w:val="1134"/>
        </w:trPr>
        <w:tc>
          <w:tcPr>
            <w:tcW w:w="4291" w:type="dxa"/>
            <w:gridSpan w:val="2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合计</w:t>
            </w:r>
          </w:p>
        </w:tc>
        <w:tc>
          <w:tcPr>
            <w:tcW w:w="916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100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98.7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97.4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98.8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94.8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96.6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96.8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97.3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96.5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98.7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97.2</w:t>
            </w:r>
          </w:p>
        </w:tc>
        <w:tc>
          <w:tcPr>
            <w:tcW w:w="680" w:type="dxa"/>
            <w:vAlign w:val="center"/>
          </w:tcPr>
          <w:p w:rsidR="00CD44A5" w:rsidRDefault="00CD44A5" w:rsidP="00CC1EAA">
            <w:pPr>
              <w:autoSpaceDN w:val="0"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98</w:t>
            </w:r>
          </w:p>
        </w:tc>
      </w:tr>
    </w:tbl>
    <w:p w:rsidR="007167C1" w:rsidRDefault="007167C1">
      <w:bookmarkStart w:id="0" w:name="_GoBack"/>
      <w:bookmarkEnd w:id="0"/>
    </w:p>
    <w:sectPr w:rsidR="007167C1" w:rsidSect="00CD44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A5"/>
    <w:rsid w:val="007167C1"/>
    <w:rsid w:val="00CD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D4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44A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CD44A5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D4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44A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CD44A5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290</Words>
  <Characters>1657</Characters>
  <Application>Microsoft Office Word</Application>
  <DocSecurity>0</DocSecurity>
  <Lines>13</Lines>
  <Paragraphs>3</Paragraphs>
  <ScaleCrop>false</ScaleCrop>
  <Company>CHINA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2018-11-12T08:20:00Z</dcterms:created>
  <dcterms:modified xsi:type="dcterms:W3CDTF">2018-11-12T08:20:00Z</dcterms:modified>
</cp:coreProperties>
</file>