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00" w:rsidRDefault="00D33A00" w:rsidP="00D33A00">
      <w:pPr>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2</w:t>
      </w:r>
    </w:p>
    <w:p w:rsidR="00D33A00" w:rsidRDefault="00D33A00" w:rsidP="00D33A00">
      <w:pPr>
        <w:adjustRightInd w:val="0"/>
        <w:spacing w:afterLines="100" w:after="312" w:line="360" w:lineRule="auto"/>
        <w:jc w:val="center"/>
        <w:outlineLvl w:val="0"/>
        <w:rPr>
          <w:rFonts w:ascii="Times New Roman" w:eastAsia="方正小标宋简体" w:hAnsi="Times New Roman"/>
          <w:sz w:val="40"/>
          <w:szCs w:val="40"/>
        </w:rPr>
      </w:pPr>
      <w:bookmarkStart w:id="0" w:name="_GoBack"/>
      <w:r>
        <w:rPr>
          <w:rFonts w:ascii="Times New Roman" w:eastAsia="方正小标宋简体" w:hAnsi="Times New Roman" w:hint="eastAsia"/>
          <w:sz w:val="40"/>
          <w:szCs w:val="40"/>
        </w:rPr>
        <w:t>职业教育专业教学资源库验收评议重点和指标</w:t>
      </w:r>
      <w:bookmarkEnd w:id="0"/>
    </w:p>
    <w:tbl>
      <w:tblPr>
        <w:tblW w:w="13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1602"/>
        <w:gridCol w:w="4831"/>
        <w:gridCol w:w="4799"/>
        <w:gridCol w:w="1140"/>
      </w:tblGrid>
      <w:tr w:rsidR="00D33A00" w:rsidTr="008658F0">
        <w:trPr>
          <w:cantSplit/>
          <w:trHeight w:val="494"/>
          <w:jc w:val="center"/>
        </w:trPr>
        <w:tc>
          <w:tcPr>
            <w:tcW w:w="13040" w:type="dxa"/>
            <w:gridSpan w:val="5"/>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8"/>
                <w:szCs w:val="28"/>
              </w:rPr>
            </w:pPr>
            <w:r>
              <w:rPr>
                <w:rFonts w:ascii="Times New Roman" w:eastAsia="黑体" w:hAnsi="Times New Roman" w:cs="黑体" w:hint="eastAsia"/>
                <w:bCs/>
                <w:sz w:val="28"/>
                <w:szCs w:val="28"/>
              </w:rPr>
              <w:t>评议重点</w:t>
            </w:r>
          </w:p>
        </w:tc>
      </w:tr>
      <w:tr w:rsidR="00D33A00" w:rsidTr="008658F0">
        <w:trPr>
          <w:cantSplit/>
          <w:trHeight w:val="464"/>
          <w:jc w:val="center"/>
        </w:trPr>
        <w:tc>
          <w:tcPr>
            <w:tcW w:w="668"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黑体" w:hAnsi="Times New Roman" w:cs="黑体"/>
                <w:bCs/>
                <w:sz w:val="28"/>
                <w:szCs w:val="28"/>
              </w:rPr>
            </w:pPr>
            <w:r>
              <w:rPr>
                <w:rFonts w:ascii="Times New Roman" w:eastAsia="黑体" w:hAnsi="Times New Roman" w:cs="黑体" w:hint="eastAsia"/>
                <w:bCs/>
                <w:sz w:val="28"/>
                <w:szCs w:val="28"/>
              </w:rPr>
              <w:t>序号</w:t>
            </w:r>
          </w:p>
        </w:tc>
        <w:tc>
          <w:tcPr>
            <w:tcW w:w="1602"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黑体" w:hAnsi="Times New Roman" w:cs="黑体"/>
                <w:bCs/>
                <w:sz w:val="28"/>
                <w:szCs w:val="28"/>
              </w:rPr>
            </w:pPr>
            <w:r>
              <w:rPr>
                <w:rFonts w:ascii="Times New Roman" w:eastAsia="黑体" w:hAnsi="Times New Roman" w:cs="黑体" w:hint="eastAsia"/>
                <w:bCs/>
                <w:sz w:val="28"/>
                <w:szCs w:val="28"/>
              </w:rPr>
              <w:t>评议重点</w:t>
            </w:r>
          </w:p>
        </w:tc>
        <w:tc>
          <w:tcPr>
            <w:tcW w:w="48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33A00" w:rsidRDefault="00D33A00" w:rsidP="008658F0">
            <w:pPr>
              <w:spacing w:line="240" w:lineRule="atLeast"/>
              <w:jc w:val="center"/>
              <w:rPr>
                <w:rFonts w:ascii="Times New Roman" w:eastAsia="黑体" w:hAnsi="Times New Roman" w:cs="黑体"/>
                <w:bCs/>
                <w:sz w:val="28"/>
                <w:szCs w:val="28"/>
              </w:rPr>
            </w:pPr>
            <w:r>
              <w:rPr>
                <w:rFonts w:ascii="Times New Roman" w:eastAsia="黑体" w:hAnsi="Times New Roman" w:cs="黑体" w:hint="eastAsia"/>
                <w:bCs/>
                <w:sz w:val="28"/>
                <w:szCs w:val="28"/>
              </w:rPr>
              <w:t>内涵说明</w:t>
            </w:r>
          </w:p>
        </w:tc>
        <w:tc>
          <w:tcPr>
            <w:tcW w:w="4799"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黑体" w:hAnsi="Times New Roman" w:cs="黑体"/>
                <w:bCs/>
                <w:sz w:val="28"/>
                <w:szCs w:val="28"/>
              </w:rPr>
            </w:pPr>
            <w:r>
              <w:rPr>
                <w:rFonts w:ascii="Times New Roman" w:eastAsia="黑体" w:hAnsi="Times New Roman" w:cs="黑体" w:hint="eastAsia"/>
                <w:bCs/>
                <w:sz w:val="28"/>
                <w:szCs w:val="28"/>
              </w:rPr>
              <w:t>结论判定</w:t>
            </w:r>
          </w:p>
        </w:tc>
        <w:tc>
          <w:tcPr>
            <w:tcW w:w="1140"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黑体" w:hAnsi="Times New Roman" w:cs="黑体"/>
                <w:bCs/>
                <w:sz w:val="28"/>
                <w:szCs w:val="28"/>
              </w:rPr>
            </w:pPr>
            <w:r>
              <w:rPr>
                <w:rFonts w:ascii="Times New Roman" w:eastAsia="黑体" w:hAnsi="Times New Roman" w:cs="黑体" w:hint="eastAsia"/>
                <w:bCs/>
                <w:sz w:val="28"/>
                <w:szCs w:val="28"/>
              </w:rPr>
              <w:t>备注</w:t>
            </w:r>
          </w:p>
        </w:tc>
      </w:tr>
      <w:tr w:rsidR="00D33A00" w:rsidTr="008658F0">
        <w:trPr>
          <w:cantSplit/>
          <w:trHeight w:val="1701"/>
          <w:jc w:val="center"/>
        </w:trPr>
        <w:tc>
          <w:tcPr>
            <w:tcW w:w="668"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4"/>
                <w:szCs w:val="24"/>
              </w:rPr>
            </w:pPr>
            <w:r>
              <w:rPr>
                <w:rFonts w:ascii="Times New Roman" w:eastAsia="仿宋_GB2312" w:hAnsi="Times New Roman"/>
                <w:bCs/>
                <w:sz w:val="24"/>
                <w:szCs w:val="24"/>
              </w:rPr>
              <w:t>1</w:t>
            </w:r>
          </w:p>
        </w:tc>
        <w:tc>
          <w:tcPr>
            <w:tcW w:w="1602"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360" w:lineRule="auto"/>
              <w:jc w:val="center"/>
              <w:rPr>
                <w:rFonts w:ascii="Times New Roman" w:eastAsia="仿宋_GB2312" w:hAnsi="Times New Roman"/>
                <w:bCs/>
                <w:sz w:val="24"/>
                <w:szCs w:val="24"/>
              </w:rPr>
            </w:pPr>
            <w:r>
              <w:rPr>
                <w:rFonts w:ascii="Times New Roman" w:eastAsia="仿宋_GB2312" w:hAnsi="Times New Roman" w:hint="eastAsia"/>
                <w:bCs/>
                <w:sz w:val="24"/>
                <w:szCs w:val="24"/>
              </w:rPr>
              <w:t>任务进度</w:t>
            </w:r>
          </w:p>
        </w:tc>
        <w:tc>
          <w:tcPr>
            <w:tcW w:w="48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33A00" w:rsidRDefault="00D33A00" w:rsidP="008658F0">
            <w:pPr>
              <w:adjustRightInd w:val="0"/>
              <w:snapToGrid w:val="0"/>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按照《建设方案》和《任务书》如期完成各项建设任务，达到预期目标</w:t>
            </w:r>
          </w:p>
        </w:tc>
        <w:tc>
          <w:tcPr>
            <w:tcW w:w="4799"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adjustRightInd w:val="0"/>
              <w:snapToGrid w:val="0"/>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未能完成全部建设任务，但预期目标完成</w:t>
            </w:r>
            <w:r>
              <w:rPr>
                <w:rFonts w:ascii="Times New Roman" w:eastAsia="仿宋_GB2312" w:hAnsi="Times New Roman"/>
                <w:bCs/>
                <w:sz w:val="24"/>
                <w:szCs w:val="24"/>
              </w:rPr>
              <w:t>98%</w:t>
            </w:r>
            <w:r>
              <w:rPr>
                <w:rFonts w:ascii="Times New Roman" w:eastAsia="仿宋_GB2312" w:hAnsi="Times New Roman" w:hint="eastAsia"/>
                <w:bCs/>
                <w:sz w:val="24"/>
                <w:szCs w:val="24"/>
              </w:rPr>
              <w:t>以上的，验收结论可为</w:t>
            </w:r>
            <w:r>
              <w:rPr>
                <w:rFonts w:ascii="Times New Roman" w:eastAsia="仿宋_GB2312" w:hAnsi="Times New Roman"/>
                <w:bCs/>
                <w:sz w:val="24"/>
                <w:szCs w:val="24"/>
              </w:rPr>
              <w:t>“</w:t>
            </w:r>
            <w:r>
              <w:rPr>
                <w:rFonts w:ascii="Times New Roman" w:eastAsia="仿宋_GB2312" w:hAnsi="Times New Roman" w:hint="eastAsia"/>
                <w:bCs/>
                <w:sz w:val="24"/>
                <w:szCs w:val="24"/>
              </w:rPr>
              <w:t>通过</w:t>
            </w:r>
            <w:r>
              <w:rPr>
                <w:rFonts w:ascii="Times New Roman" w:eastAsia="仿宋_GB2312" w:hAnsi="Times New Roman"/>
                <w:bCs/>
                <w:sz w:val="24"/>
                <w:szCs w:val="24"/>
              </w:rPr>
              <w:t>”</w:t>
            </w:r>
            <w:r>
              <w:rPr>
                <w:rFonts w:ascii="Times New Roman" w:eastAsia="仿宋_GB2312" w:hAnsi="Times New Roman" w:hint="eastAsia"/>
                <w:bCs/>
                <w:sz w:val="24"/>
                <w:szCs w:val="24"/>
              </w:rPr>
              <w:t>；否则“暂缓通过”或“不通过”。</w:t>
            </w:r>
          </w:p>
        </w:tc>
        <w:tc>
          <w:tcPr>
            <w:tcW w:w="1140"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
                <w:bCs/>
                <w:sz w:val="30"/>
                <w:szCs w:val="30"/>
              </w:rPr>
            </w:pPr>
          </w:p>
        </w:tc>
      </w:tr>
      <w:tr w:rsidR="00D33A00" w:rsidTr="008658F0">
        <w:trPr>
          <w:cantSplit/>
          <w:trHeight w:val="1701"/>
          <w:jc w:val="center"/>
        </w:trPr>
        <w:tc>
          <w:tcPr>
            <w:tcW w:w="668"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4"/>
                <w:szCs w:val="24"/>
              </w:rPr>
            </w:pPr>
            <w:r>
              <w:rPr>
                <w:rFonts w:ascii="Times New Roman" w:eastAsia="仿宋_GB2312" w:hAnsi="Times New Roman"/>
                <w:bCs/>
                <w:sz w:val="24"/>
                <w:szCs w:val="24"/>
              </w:rPr>
              <w:t>2</w:t>
            </w:r>
          </w:p>
        </w:tc>
        <w:tc>
          <w:tcPr>
            <w:tcW w:w="1602"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4"/>
                <w:szCs w:val="24"/>
              </w:rPr>
            </w:pPr>
            <w:r>
              <w:rPr>
                <w:rFonts w:ascii="Times New Roman" w:eastAsia="仿宋_GB2312" w:hAnsi="Times New Roman" w:hint="eastAsia"/>
                <w:bCs/>
                <w:sz w:val="24"/>
                <w:szCs w:val="24"/>
              </w:rPr>
              <w:t>预算执行、管理与绩效</w:t>
            </w:r>
          </w:p>
        </w:tc>
        <w:tc>
          <w:tcPr>
            <w:tcW w:w="48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33A00" w:rsidRDefault="00D33A00" w:rsidP="008658F0">
            <w:pPr>
              <w:adjustRightInd w:val="0"/>
              <w:snapToGrid w:val="0"/>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预算执行好，资金到位足额；支出符合国家政策、制度要求以及《任务书》相关协定；财务控制与管理成效好；资金专款专用，专账管理科学规范；实现了支出绩效目标</w:t>
            </w:r>
          </w:p>
        </w:tc>
        <w:tc>
          <w:tcPr>
            <w:tcW w:w="4799"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pStyle w:val="a3"/>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预算执行有</w:t>
            </w:r>
            <w:proofErr w:type="gramStart"/>
            <w:r>
              <w:rPr>
                <w:rFonts w:ascii="Times New Roman" w:eastAsia="仿宋_GB2312" w:hAnsi="Times New Roman" w:hint="eastAsia"/>
                <w:bCs/>
                <w:sz w:val="24"/>
                <w:szCs w:val="24"/>
              </w:rPr>
              <w:t>悖国家</w:t>
            </w:r>
            <w:proofErr w:type="gramEnd"/>
            <w:r>
              <w:rPr>
                <w:rFonts w:ascii="Times New Roman" w:eastAsia="仿宋_GB2312" w:hAnsi="Times New Roman" w:hint="eastAsia"/>
                <w:bCs/>
                <w:sz w:val="24"/>
                <w:szCs w:val="24"/>
              </w:rPr>
              <w:t>规定，资金使用、管理与绩效存在问题，有整改可能性的，验收结论为“通过”；否则“暂缓通过”或“不通过”。</w:t>
            </w:r>
          </w:p>
        </w:tc>
        <w:tc>
          <w:tcPr>
            <w:tcW w:w="1140"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
                <w:bCs/>
                <w:sz w:val="30"/>
                <w:szCs w:val="30"/>
              </w:rPr>
            </w:pPr>
          </w:p>
        </w:tc>
      </w:tr>
      <w:tr w:rsidR="00D33A00" w:rsidTr="008658F0">
        <w:trPr>
          <w:cantSplit/>
          <w:trHeight w:val="1701"/>
          <w:jc w:val="center"/>
        </w:trPr>
        <w:tc>
          <w:tcPr>
            <w:tcW w:w="668"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1602"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Cs/>
                <w:sz w:val="24"/>
                <w:szCs w:val="24"/>
              </w:rPr>
            </w:pPr>
            <w:r>
              <w:rPr>
                <w:rFonts w:ascii="Times New Roman" w:eastAsia="仿宋_GB2312" w:hAnsi="Times New Roman" w:hint="eastAsia"/>
                <w:sz w:val="24"/>
                <w:szCs w:val="24"/>
              </w:rPr>
              <w:t>公示结果</w:t>
            </w:r>
          </w:p>
        </w:tc>
        <w:tc>
          <w:tcPr>
            <w:tcW w:w="48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33A00" w:rsidRDefault="00D33A00" w:rsidP="008658F0">
            <w:pPr>
              <w:adjustRightInd w:val="0"/>
              <w:snapToGrid w:val="0"/>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验收材料公示无异议，或有异议经核实无问题</w:t>
            </w:r>
          </w:p>
        </w:tc>
        <w:tc>
          <w:tcPr>
            <w:tcW w:w="4799"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adjustRightInd w:val="0"/>
              <w:snapToGrid w:val="0"/>
              <w:spacing w:line="360" w:lineRule="auto"/>
              <w:rPr>
                <w:rFonts w:ascii="Times New Roman" w:eastAsia="仿宋_GB2312" w:hAnsi="Times New Roman"/>
                <w:bCs/>
                <w:sz w:val="24"/>
                <w:szCs w:val="24"/>
              </w:rPr>
            </w:pPr>
            <w:r>
              <w:rPr>
                <w:rFonts w:ascii="Times New Roman" w:eastAsia="仿宋_GB2312" w:hAnsi="Times New Roman" w:hint="eastAsia"/>
                <w:bCs/>
                <w:sz w:val="24"/>
                <w:szCs w:val="24"/>
              </w:rPr>
              <w:t>验收材料公示有异议，经核实确有问题，但可补救且不影响资源</w:t>
            </w:r>
            <w:proofErr w:type="gramStart"/>
            <w:r>
              <w:rPr>
                <w:rFonts w:ascii="Times New Roman" w:eastAsia="仿宋_GB2312" w:hAnsi="Times New Roman" w:hint="eastAsia"/>
                <w:bCs/>
                <w:sz w:val="24"/>
                <w:szCs w:val="24"/>
              </w:rPr>
              <w:t>库整体</w:t>
            </w:r>
            <w:proofErr w:type="gramEnd"/>
            <w:r>
              <w:rPr>
                <w:rFonts w:ascii="Times New Roman" w:eastAsia="仿宋_GB2312" w:hAnsi="Times New Roman" w:hint="eastAsia"/>
                <w:bCs/>
                <w:sz w:val="24"/>
                <w:szCs w:val="24"/>
              </w:rPr>
              <w:t>使用效果的，验收结论为</w:t>
            </w:r>
            <w:r>
              <w:rPr>
                <w:rFonts w:ascii="Times New Roman" w:eastAsia="仿宋_GB2312" w:hAnsi="Times New Roman"/>
                <w:bCs/>
                <w:sz w:val="24"/>
                <w:szCs w:val="24"/>
              </w:rPr>
              <w:t>“</w:t>
            </w:r>
            <w:r>
              <w:rPr>
                <w:rFonts w:ascii="Times New Roman" w:eastAsia="仿宋_GB2312" w:hAnsi="Times New Roman" w:hint="eastAsia"/>
                <w:bCs/>
                <w:sz w:val="24"/>
                <w:szCs w:val="24"/>
              </w:rPr>
              <w:t>通过</w:t>
            </w:r>
            <w:r>
              <w:rPr>
                <w:rFonts w:ascii="Times New Roman" w:eastAsia="仿宋_GB2312" w:hAnsi="Times New Roman"/>
                <w:bCs/>
                <w:sz w:val="24"/>
                <w:szCs w:val="24"/>
              </w:rPr>
              <w:t>”</w:t>
            </w:r>
            <w:r>
              <w:rPr>
                <w:rFonts w:ascii="Times New Roman" w:eastAsia="仿宋_GB2312" w:hAnsi="Times New Roman" w:hint="eastAsia"/>
                <w:bCs/>
                <w:sz w:val="24"/>
                <w:szCs w:val="24"/>
              </w:rPr>
              <w:t>；否则“暂缓通过”或“不通过”。</w:t>
            </w:r>
          </w:p>
        </w:tc>
        <w:tc>
          <w:tcPr>
            <w:tcW w:w="1140" w:type="dxa"/>
            <w:tcBorders>
              <w:top w:val="single" w:sz="4" w:space="0" w:color="auto"/>
              <w:left w:val="single" w:sz="4" w:space="0" w:color="auto"/>
              <w:bottom w:val="single" w:sz="4" w:space="0" w:color="auto"/>
              <w:right w:val="single" w:sz="4" w:space="0" w:color="auto"/>
            </w:tcBorders>
            <w:vAlign w:val="center"/>
          </w:tcPr>
          <w:p w:rsidR="00D33A00" w:rsidRDefault="00D33A00" w:rsidP="008658F0">
            <w:pPr>
              <w:spacing w:line="240" w:lineRule="atLeast"/>
              <w:jc w:val="center"/>
              <w:rPr>
                <w:rFonts w:ascii="Times New Roman" w:eastAsia="仿宋_GB2312" w:hAnsi="Times New Roman"/>
                <w:b/>
                <w:bCs/>
                <w:sz w:val="30"/>
                <w:szCs w:val="30"/>
              </w:rPr>
            </w:pPr>
          </w:p>
        </w:tc>
      </w:tr>
    </w:tbl>
    <w:p w:rsidR="00D33A00" w:rsidRDefault="00D33A00" w:rsidP="00D33A00">
      <w:pPr>
        <w:rPr>
          <w:rFonts w:ascii="Times New Roman" w:eastAsia="黑体" w:hAnsi="Times New Roman" w:cs="黑体"/>
          <w:sz w:val="32"/>
          <w:szCs w:val="32"/>
        </w:rPr>
        <w:sectPr w:rsidR="00D33A00">
          <w:pgSz w:w="16838" w:h="11906" w:orient="landscape"/>
          <w:pgMar w:top="1588" w:right="1814" w:bottom="1588" w:left="1814" w:header="851" w:footer="992" w:gutter="0"/>
          <w:cols w:space="425"/>
          <w:docGrid w:type="lines" w:linePitch="312"/>
        </w:sectPr>
      </w:pPr>
    </w:p>
    <w:tbl>
      <w:tblPr>
        <w:tblpPr w:leftFromText="180" w:rightFromText="180" w:vertAnchor="page" w:horzAnchor="page" w:tblpXSpec="center" w:tblpY="1996"/>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104"/>
        <w:gridCol w:w="11366"/>
      </w:tblGrid>
      <w:tr w:rsidR="00D33A00" w:rsidTr="008658F0">
        <w:trPr>
          <w:trHeight w:val="333"/>
          <w:tblHeader/>
          <w:jc w:val="center"/>
        </w:trPr>
        <w:tc>
          <w:tcPr>
            <w:tcW w:w="14060" w:type="dxa"/>
            <w:gridSpan w:val="3"/>
            <w:shd w:val="clear" w:color="auto" w:fill="auto"/>
            <w:vAlign w:val="center"/>
          </w:tcPr>
          <w:p w:rsidR="00D33A00" w:rsidRDefault="00D33A00" w:rsidP="008658F0">
            <w:pPr>
              <w:jc w:val="center"/>
              <w:rPr>
                <w:rFonts w:ascii="Times New Roman" w:eastAsia="仿宋_GB2312" w:hAnsi="Times New Roman"/>
              </w:rPr>
            </w:pPr>
            <w:r>
              <w:rPr>
                <w:rFonts w:ascii="Times New Roman" w:eastAsia="黑体" w:hAnsi="Times New Roman" w:cs="黑体" w:hint="eastAsia"/>
                <w:sz w:val="24"/>
                <w:szCs w:val="28"/>
              </w:rPr>
              <w:lastRenderedPageBreak/>
              <w:t>评议指标</w:t>
            </w:r>
          </w:p>
        </w:tc>
      </w:tr>
      <w:tr w:rsidR="00D33A00" w:rsidTr="008658F0">
        <w:trPr>
          <w:trHeight w:val="588"/>
          <w:tblHeader/>
          <w:jc w:val="center"/>
        </w:trPr>
        <w:tc>
          <w:tcPr>
            <w:tcW w:w="1590" w:type="dxa"/>
            <w:shd w:val="clear" w:color="auto" w:fill="auto"/>
            <w:vAlign w:val="center"/>
          </w:tcPr>
          <w:p w:rsidR="00D33A00" w:rsidRDefault="00D33A00" w:rsidP="008658F0">
            <w:pPr>
              <w:jc w:val="center"/>
              <w:rPr>
                <w:rFonts w:ascii="Times New Roman" w:eastAsia="黑体" w:hAnsi="Times New Roman" w:cs="黑体"/>
              </w:rPr>
            </w:pPr>
            <w:r>
              <w:rPr>
                <w:rFonts w:ascii="Times New Roman" w:eastAsia="黑体" w:hAnsi="Times New Roman" w:cs="黑体" w:hint="eastAsia"/>
              </w:rPr>
              <w:t>主要指标</w:t>
            </w:r>
          </w:p>
        </w:tc>
        <w:tc>
          <w:tcPr>
            <w:tcW w:w="1104" w:type="dxa"/>
            <w:shd w:val="clear" w:color="auto" w:fill="auto"/>
            <w:vAlign w:val="center"/>
          </w:tcPr>
          <w:p w:rsidR="00D33A00" w:rsidRDefault="00D33A00" w:rsidP="008658F0">
            <w:pPr>
              <w:adjustRightInd w:val="0"/>
              <w:snapToGrid w:val="0"/>
              <w:jc w:val="center"/>
              <w:rPr>
                <w:rFonts w:ascii="Times New Roman" w:eastAsia="黑体" w:hAnsi="Times New Roman" w:cs="黑体"/>
              </w:rPr>
            </w:pPr>
            <w:r>
              <w:rPr>
                <w:rFonts w:ascii="Times New Roman" w:eastAsia="黑体" w:hAnsi="Times New Roman" w:cs="黑体" w:hint="eastAsia"/>
              </w:rPr>
              <w:t>主要</w:t>
            </w:r>
          </w:p>
          <w:p w:rsidR="00D33A00" w:rsidRDefault="00D33A00" w:rsidP="008658F0">
            <w:pPr>
              <w:adjustRightInd w:val="0"/>
              <w:snapToGrid w:val="0"/>
              <w:jc w:val="center"/>
              <w:rPr>
                <w:rFonts w:ascii="Times New Roman" w:eastAsia="黑体" w:hAnsi="Times New Roman" w:cs="黑体"/>
              </w:rPr>
            </w:pPr>
            <w:r>
              <w:rPr>
                <w:rFonts w:ascii="Times New Roman" w:eastAsia="黑体" w:hAnsi="Times New Roman" w:cs="黑体" w:hint="eastAsia"/>
              </w:rPr>
              <w:t>观测点</w:t>
            </w:r>
          </w:p>
        </w:tc>
        <w:tc>
          <w:tcPr>
            <w:tcW w:w="11366" w:type="dxa"/>
            <w:shd w:val="clear" w:color="auto" w:fill="auto"/>
            <w:vAlign w:val="center"/>
          </w:tcPr>
          <w:p w:rsidR="00D33A00" w:rsidRDefault="00D33A00" w:rsidP="008658F0">
            <w:pPr>
              <w:jc w:val="center"/>
              <w:rPr>
                <w:rFonts w:ascii="Times New Roman" w:eastAsia="黑体" w:hAnsi="Times New Roman" w:cs="黑体"/>
              </w:rPr>
            </w:pPr>
            <w:r>
              <w:rPr>
                <w:rFonts w:ascii="Times New Roman" w:eastAsia="黑体" w:hAnsi="Times New Roman" w:cs="黑体" w:hint="eastAsia"/>
              </w:rPr>
              <w:t>观测点内涵说明</w:t>
            </w:r>
          </w:p>
        </w:tc>
      </w:tr>
      <w:tr w:rsidR="00D33A00" w:rsidTr="008658F0">
        <w:trPr>
          <w:trHeight w:val="1821"/>
          <w:jc w:val="center"/>
        </w:trPr>
        <w:tc>
          <w:tcPr>
            <w:tcW w:w="1590" w:type="dxa"/>
            <w:vMerge w:val="restart"/>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资源建设（</w:t>
            </w:r>
            <w:r>
              <w:rPr>
                <w:rFonts w:ascii="Times New Roman" w:eastAsia="仿宋_GB2312" w:hAnsi="Times New Roman"/>
              </w:rPr>
              <w:t>35%</w:t>
            </w:r>
            <w:r>
              <w:rPr>
                <w:rFonts w:ascii="Times New Roman" w:eastAsia="仿宋_GB2312" w:hAnsi="Times New Roman"/>
              </w:rPr>
              <w:t>）</w:t>
            </w:r>
          </w:p>
        </w:tc>
        <w:tc>
          <w:tcPr>
            <w:tcW w:w="1104" w:type="dxa"/>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t>1.1</w:t>
            </w:r>
            <w:r>
              <w:rPr>
                <w:rFonts w:ascii="Times New Roman" w:eastAsia="仿宋_GB2312" w:hAnsi="Times New Roman"/>
              </w:rPr>
              <w:t>资源规划</w:t>
            </w:r>
          </w:p>
          <w:p w:rsidR="00D33A00" w:rsidRDefault="00D33A00" w:rsidP="008658F0">
            <w:pPr>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10%</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
              </w:numPr>
              <w:ind w:firstLineChars="0"/>
              <w:rPr>
                <w:rFonts w:eastAsia="仿宋_GB2312"/>
              </w:rPr>
            </w:pPr>
            <w:r>
              <w:rPr>
                <w:rFonts w:eastAsia="仿宋_GB2312" w:hint="eastAsia"/>
              </w:rPr>
              <w:t>专业人才培养方案能对接职业标准、技术标准和专业教学标准，适应</w:t>
            </w:r>
            <w:r>
              <w:rPr>
                <w:rFonts w:eastAsia="仿宋_GB2312"/>
              </w:rPr>
              <w:t>“</w:t>
            </w:r>
            <w:r>
              <w:rPr>
                <w:rFonts w:eastAsia="仿宋_GB2312" w:hint="eastAsia"/>
              </w:rPr>
              <w:t>互联网＋职业教育</w:t>
            </w:r>
            <w:r>
              <w:rPr>
                <w:rFonts w:eastAsia="仿宋_GB2312"/>
              </w:rPr>
              <w:t>”</w:t>
            </w:r>
            <w:r>
              <w:rPr>
                <w:rFonts w:eastAsia="仿宋_GB2312" w:hint="eastAsia"/>
              </w:rPr>
              <w:t>发展需求，体现信息化特征。</w:t>
            </w:r>
          </w:p>
          <w:p w:rsidR="00D33A00" w:rsidRDefault="00D33A00" w:rsidP="008658F0">
            <w:pPr>
              <w:pStyle w:val="2"/>
              <w:numPr>
                <w:ilvl w:val="0"/>
                <w:numId w:val="1"/>
              </w:numPr>
              <w:ind w:firstLineChars="0"/>
              <w:rPr>
                <w:rFonts w:eastAsia="仿宋_GB2312"/>
                <w:sz w:val="22"/>
              </w:rPr>
            </w:pPr>
            <w:r>
              <w:rPr>
                <w:rFonts w:eastAsia="仿宋_GB2312" w:hint="eastAsia"/>
              </w:rPr>
              <w:t>以用户需求为导向、结合专业特点，科学构架课程和资源体系。</w:t>
            </w:r>
          </w:p>
          <w:p w:rsidR="00D33A00" w:rsidRDefault="00D33A00" w:rsidP="008658F0">
            <w:pPr>
              <w:pStyle w:val="2"/>
              <w:numPr>
                <w:ilvl w:val="0"/>
                <w:numId w:val="1"/>
              </w:numPr>
              <w:ind w:firstLineChars="0"/>
              <w:rPr>
                <w:rFonts w:eastAsia="仿宋_GB2312"/>
              </w:rPr>
            </w:pPr>
            <w:r>
              <w:rPr>
                <w:rFonts w:eastAsia="仿宋_GB2312" w:hint="eastAsia"/>
              </w:rPr>
              <w:t>专业启动对应的</w:t>
            </w:r>
            <w:r>
              <w:rPr>
                <w:rFonts w:eastAsia="仿宋_GB2312"/>
              </w:rPr>
              <w:t>1+X</w:t>
            </w:r>
            <w:r>
              <w:rPr>
                <w:rFonts w:eastAsia="仿宋_GB2312" w:hint="eastAsia"/>
              </w:rPr>
              <w:t>证书制度试点，支持学习者通过资源库学习，获取多类职业技能等级证书。</w:t>
            </w:r>
          </w:p>
          <w:p w:rsidR="00D33A00" w:rsidRDefault="00D33A00" w:rsidP="008658F0">
            <w:pPr>
              <w:pStyle w:val="2"/>
              <w:numPr>
                <w:ilvl w:val="0"/>
                <w:numId w:val="1"/>
              </w:numPr>
              <w:ind w:firstLineChars="0"/>
              <w:rPr>
                <w:rFonts w:eastAsia="仿宋_GB2312"/>
              </w:rPr>
            </w:pPr>
            <w:r>
              <w:rPr>
                <w:rFonts w:eastAsia="仿宋_GB2312" w:hint="eastAsia"/>
              </w:rPr>
              <w:t>库内资源架构按照素材、积件、模块和课程等分层建设。</w:t>
            </w:r>
          </w:p>
          <w:p w:rsidR="00D33A00" w:rsidRDefault="00D33A00" w:rsidP="008658F0">
            <w:pPr>
              <w:pStyle w:val="2"/>
              <w:numPr>
                <w:ilvl w:val="0"/>
                <w:numId w:val="1"/>
              </w:numPr>
              <w:ind w:firstLineChars="0"/>
              <w:rPr>
                <w:rFonts w:eastAsia="仿宋_GB2312"/>
              </w:rPr>
            </w:pPr>
            <w:r>
              <w:rPr>
                <w:rFonts w:eastAsia="仿宋_GB2312" w:hint="eastAsia"/>
              </w:rPr>
              <w:t>库内资源丰富多样、呈现方式得当，文本型演示文稿、图形（图像）类和文本类资源数量占比小于</w:t>
            </w:r>
            <w:r>
              <w:rPr>
                <w:rFonts w:eastAsia="仿宋_GB2312"/>
              </w:rPr>
              <w:t>50%</w:t>
            </w:r>
            <w:r>
              <w:rPr>
                <w:rFonts w:eastAsia="仿宋_GB2312" w:hint="eastAsia"/>
              </w:rPr>
              <w:t>。</w:t>
            </w:r>
          </w:p>
          <w:p w:rsidR="00D33A00" w:rsidRDefault="00D33A00" w:rsidP="008658F0">
            <w:pPr>
              <w:pStyle w:val="2"/>
              <w:numPr>
                <w:ilvl w:val="0"/>
                <w:numId w:val="1"/>
              </w:numPr>
              <w:ind w:firstLineChars="0"/>
              <w:rPr>
                <w:rFonts w:eastAsia="仿宋_GB2312"/>
              </w:rPr>
            </w:pPr>
            <w:r>
              <w:rPr>
                <w:rFonts w:eastAsia="仿宋_GB2312" w:hint="eastAsia"/>
              </w:rPr>
              <w:t>建有基本资源、拓展资源以及支持服务的相关内容。库内资源数量大幅度超出库内提供课程所调用的资源，实现资源冗余。</w:t>
            </w:r>
          </w:p>
          <w:p w:rsidR="00D33A00" w:rsidRDefault="00D33A00" w:rsidP="008658F0">
            <w:pPr>
              <w:pStyle w:val="2"/>
              <w:numPr>
                <w:ilvl w:val="0"/>
                <w:numId w:val="2"/>
              </w:numPr>
              <w:ind w:firstLineChars="0"/>
              <w:rPr>
                <w:rFonts w:eastAsia="仿宋_GB2312"/>
                <w:kern w:val="0"/>
                <w:sz w:val="22"/>
              </w:rPr>
            </w:pPr>
            <w:r>
              <w:rPr>
                <w:rFonts w:eastAsia="仿宋_GB2312" w:hint="eastAsia"/>
              </w:rPr>
              <w:t>以学习者为中心定制典型学习方案，突出网络</w:t>
            </w:r>
            <w:r>
              <w:rPr>
                <w:rFonts w:eastAsia="仿宋_GB2312"/>
              </w:rPr>
              <w:t>“</w:t>
            </w:r>
            <w:r>
              <w:rPr>
                <w:rFonts w:eastAsia="仿宋_GB2312" w:hint="eastAsia"/>
              </w:rPr>
              <w:t>教</w:t>
            </w:r>
            <w:r>
              <w:rPr>
                <w:rFonts w:eastAsia="仿宋_GB2312"/>
              </w:rPr>
              <w:t>”</w:t>
            </w:r>
            <w:r>
              <w:rPr>
                <w:rFonts w:eastAsia="仿宋_GB2312" w:hint="eastAsia"/>
              </w:rPr>
              <w:t>与</w:t>
            </w:r>
            <w:r>
              <w:rPr>
                <w:rFonts w:eastAsia="仿宋_GB2312"/>
              </w:rPr>
              <w:t>“</w:t>
            </w:r>
            <w:r>
              <w:rPr>
                <w:rFonts w:eastAsia="仿宋_GB2312" w:hint="eastAsia"/>
              </w:rPr>
              <w:t>学</w:t>
            </w:r>
            <w:r>
              <w:rPr>
                <w:rFonts w:eastAsia="仿宋_GB2312"/>
              </w:rPr>
              <w:t>”</w:t>
            </w:r>
            <w:r>
              <w:rPr>
                <w:rFonts w:eastAsia="仿宋_GB2312" w:hint="eastAsia"/>
              </w:rPr>
              <w:t>的特点。</w:t>
            </w:r>
          </w:p>
        </w:tc>
      </w:tr>
      <w:tr w:rsidR="00D33A00" w:rsidTr="008658F0">
        <w:trPr>
          <w:trHeight w:val="1926"/>
          <w:jc w:val="center"/>
        </w:trPr>
        <w:tc>
          <w:tcPr>
            <w:tcW w:w="1590" w:type="dxa"/>
            <w:vMerge/>
            <w:shd w:val="clear" w:color="auto" w:fill="auto"/>
            <w:vAlign w:val="center"/>
          </w:tcPr>
          <w:p w:rsidR="00D33A00" w:rsidRDefault="00D33A00" w:rsidP="008658F0">
            <w:pPr>
              <w:rPr>
                <w:rFonts w:ascii="Times New Roman" w:eastAsia="仿宋_GB2312" w:hAnsi="Times New Roman"/>
              </w:rPr>
            </w:pPr>
          </w:p>
        </w:tc>
        <w:tc>
          <w:tcPr>
            <w:tcW w:w="1104" w:type="dxa"/>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t>1.2</w:t>
            </w:r>
            <w:r>
              <w:rPr>
                <w:rFonts w:ascii="Times New Roman" w:eastAsia="仿宋_GB2312" w:hAnsi="Times New Roman"/>
              </w:rPr>
              <w:t>资源内容</w:t>
            </w:r>
          </w:p>
          <w:p w:rsidR="00D33A00" w:rsidRDefault="00D33A00" w:rsidP="008658F0">
            <w:pPr>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15%</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3"/>
              </w:numPr>
              <w:ind w:firstLineChars="0"/>
              <w:rPr>
                <w:rFonts w:eastAsia="仿宋_GB2312"/>
              </w:rPr>
            </w:pPr>
            <w:r>
              <w:rPr>
                <w:rFonts w:eastAsia="仿宋_GB2312" w:hint="eastAsia"/>
              </w:rPr>
              <w:t>基本资源涵盖专业教学标准规定的内容、覆盖专业的基本知识点和技能点。颗粒</w:t>
            </w:r>
            <w:proofErr w:type="gramStart"/>
            <w:r>
              <w:rPr>
                <w:rFonts w:eastAsia="仿宋_GB2312" w:hint="eastAsia"/>
              </w:rPr>
              <w:t>化资源</w:t>
            </w:r>
            <w:proofErr w:type="gramEnd"/>
            <w:r>
              <w:rPr>
                <w:rFonts w:eastAsia="仿宋_GB2312" w:hint="eastAsia"/>
              </w:rPr>
              <w:t>单体结构完整，资源属性标识全面。拓展资源适应产业发展需要和用户的个性化需求，具有特色性和前瞻性。</w:t>
            </w:r>
          </w:p>
          <w:p w:rsidR="00D33A00" w:rsidRDefault="00D33A00" w:rsidP="008658F0">
            <w:pPr>
              <w:pStyle w:val="2"/>
              <w:numPr>
                <w:ilvl w:val="0"/>
                <w:numId w:val="3"/>
              </w:numPr>
              <w:ind w:firstLineChars="0"/>
              <w:rPr>
                <w:rFonts w:eastAsia="仿宋_GB2312"/>
              </w:rPr>
            </w:pPr>
            <w:r>
              <w:rPr>
                <w:rFonts w:eastAsia="仿宋_GB2312" w:hint="eastAsia"/>
              </w:rPr>
              <w:t>支持服务内容齐全。（详见《职业教育专业教学资源库建设工作手册（</w:t>
            </w:r>
            <w:r>
              <w:rPr>
                <w:rFonts w:eastAsia="仿宋_GB2312"/>
              </w:rPr>
              <w:t>2019</w:t>
            </w:r>
            <w:r>
              <w:rPr>
                <w:rFonts w:eastAsia="仿宋_GB2312" w:hint="eastAsia"/>
              </w:rPr>
              <w:t>）》第四部分第</w:t>
            </w:r>
            <w:r>
              <w:rPr>
                <w:rFonts w:eastAsia="仿宋_GB2312"/>
              </w:rPr>
              <w:t>9</w:t>
            </w:r>
            <w:r>
              <w:rPr>
                <w:rFonts w:eastAsia="仿宋_GB2312" w:hint="eastAsia"/>
              </w:rPr>
              <w:t>点）。</w:t>
            </w:r>
          </w:p>
          <w:p w:rsidR="00D33A00" w:rsidRDefault="00D33A00" w:rsidP="008658F0">
            <w:pPr>
              <w:pStyle w:val="a6"/>
              <w:numPr>
                <w:ilvl w:val="0"/>
                <w:numId w:val="3"/>
              </w:numPr>
              <w:ind w:firstLineChars="0"/>
              <w:rPr>
                <w:rFonts w:ascii="Times New Roman" w:eastAsia="仿宋_GB2312" w:hAnsi="Times New Roman"/>
                <w:szCs w:val="24"/>
              </w:rPr>
            </w:pPr>
            <w:r>
              <w:rPr>
                <w:rFonts w:ascii="Times New Roman" w:eastAsia="仿宋_GB2312" w:hAnsi="Times New Roman" w:hint="eastAsia"/>
                <w:szCs w:val="24"/>
              </w:rPr>
              <w:t>对接《职业教育专业目录（</w:t>
            </w:r>
            <w:r>
              <w:rPr>
                <w:rFonts w:ascii="Times New Roman" w:eastAsia="仿宋_GB2312" w:hAnsi="Times New Roman"/>
                <w:szCs w:val="24"/>
              </w:rPr>
              <w:t>2021</w:t>
            </w:r>
            <w:r>
              <w:rPr>
                <w:rFonts w:ascii="Times New Roman" w:eastAsia="仿宋_GB2312" w:hAnsi="Times New Roman" w:hint="eastAsia"/>
                <w:szCs w:val="24"/>
              </w:rPr>
              <w:t>年）》新专业目录，及时根据新专业目录，补充新资源。</w:t>
            </w:r>
          </w:p>
          <w:p w:rsidR="00D33A00" w:rsidRDefault="00D33A00" w:rsidP="008658F0">
            <w:pPr>
              <w:pStyle w:val="2"/>
              <w:numPr>
                <w:ilvl w:val="0"/>
                <w:numId w:val="3"/>
              </w:numPr>
              <w:ind w:firstLineChars="0"/>
              <w:rPr>
                <w:rFonts w:eastAsia="仿宋_GB2312"/>
              </w:rPr>
            </w:pPr>
            <w:r>
              <w:rPr>
                <w:rFonts w:eastAsia="仿宋_GB2312" w:hint="eastAsia"/>
              </w:rPr>
              <w:t>教学设计、教学实施、教学过程记录、教学评价等各个环节资源搭建完整。</w:t>
            </w:r>
          </w:p>
          <w:p w:rsidR="00D33A00" w:rsidRDefault="00D33A00" w:rsidP="008658F0">
            <w:pPr>
              <w:pStyle w:val="2"/>
              <w:numPr>
                <w:ilvl w:val="0"/>
                <w:numId w:val="4"/>
              </w:numPr>
              <w:ind w:firstLineChars="0"/>
              <w:rPr>
                <w:rFonts w:eastAsia="仿宋_GB2312"/>
                <w:kern w:val="0"/>
                <w:sz w:val="22"/>
              </w:rPr>
            </w:pPr>
            <w:r>
              <w:rPr>
                <w:rFonts w:eastAsia="仿宋_GB2312" w:hint="eastAsia"/>
              </w:rPr>
              <w:t>资源使用无知识产权争议，原创资源要达到占</w:t>
            </w:r>
            <w:proofErr w:type="gramStart"/>
            <w:r>
              <w:rPr>
                <w:rFonts w:eastAsia="仿宋_GB2312" w:hint="eastAsia"/>
              </w:rPr>
              <w:t>本资源</w:t>
            </w:r>
            <w:proofErr w:type="gramEnd"/>
            <w:r>
              <w:rPr>
                <w:rFonts w:eastAsia="仿宋_GB2312" w:hint="eastAsia"/>
              </w:rPr>
              <w:t>库总数的</w:t>
            </w:r>
            <w:r>
              <w:rPr>
                <w:rFonts w:eastAsia="仿宋_GB2312" w:hint="eastAsia"/>
              </w:rPr>
              <w:t>8</w:t>
            </w:r>
            <w:r>
              <w:rPr>
                <w:rFonts w:eastAsia="仿宋_GB2312"/>
              </w:rPr>
              <w:t>0</w:t>
            </w:r>
            <w:r>
              <w:rPr>
                <w:rFonts w:eastAsia="仿宋_GB2312" w:hint="eastAsia"/>
              </w:rPr>
              <w:t>%</w:t>
            </w:r>
            <w:r>
              <w:rPr>
                <w:rFonts w:eastAsia="仿宋_GB2312" w:hint="eastAsia"/>
              </w:rPr>
              <w:t>。</w:t>
            </w:r>
          </w:p>
        </w:tc>
      </w:tr>
      <w:tr w:rsidR="00D33A00" w:rsidTr="008658F0">
        <w:trPr>
          <w:trHeight w:val="1162"/>
          <w:jc w:val="center"/>
        </w:trPr>
        <w:tc>
          <w:tcPr>
            <w:tcW w:w="1590" w:type="dxa"/>
            <w:vMerge/>
            <w:shd w:val="clear" w:color="auto" w:fill="auto"/>
            <w:vAlign w:val="center"/>
          </w:tcPr>
          <w:p w:rsidR="00D33A00" w:rsidRDefault="00D33A00" w:rsidP="008658F0">
            <w:pPr>
              <w:rPr>
                <w:rFonts w:ascii="Times New Roman" w:eastAsia="仿宋_GB2312" w:hAnsi="Times New Roman"/>
              </w:rPr>
            </w:pPr>
          </w:p>
        </w:tc>
        <w:tc>
          <w:tcPr>
            <w:tcW w:w="1104" w:type="dxa"/>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t>1.3</w:t>
            </w:r>
            <w:r>
              <w:rPr>
                <w:rFonts w:ascii="Times New Roman" w:eastAsia="仿宋_GB2312" w:hAnsi="Times New Roman"/>
              </w:rPr>
              <w:t>质量保证（</w:t>
            </w:r>
            <w:r>
              <w:rPr>
                <w:rFonts w:ascii="Times New Roman" w:eastAsia="仿宋_GB2312" w:hAnsi="Times New Roman"/>
              </w:rPr>
              <w:t>10%</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5"/>
              </w:numPr>
              <w:ind w:firstLineChars="0"/>
              <w:rPr>
                <w:rFonts w:eastAsia="仿宋_GB2312"/>
              </w:rPr>
            </w:pPr>
            <w:r>
              <w:rPr>
                <w:rFonts w:eastAsia="仿宋_GB2312" w:hint="eastAsia"/>
              </w:rPr>
              <w:t>资源建设团队校企深度融合、实力较强，任务分工明确。</w:t>
            </w:r>
          </w:p>
          <w:p w:rsidR="00D33A00" w:rsidRDefault="00D33A00" w:rsidP="008658F0">
            <w:pPr>
              <w:pStyle w:val="2"/>
              <w:numPr>
                <w:ilvl w:val="0"/>
                <w:numId w:val="5"/>
              </w:numPr>
              <w:ind w:firstLineChars="0"/>
              <w:rPr>
                <w:rFonts w:eastAsia="仿宋_GB2312"/>
              </w:rPr>
            </w:pPr>
            <w:r>
              <w:rPr>
                <w:rFonts w:eastAsia="仿宋_GB2312" w:hint="eastAsia"/>
              </w:rPr>
              <w:t>建立有资源建设和应用的质量要求的相关标准文件。</w:t>
            </w:r>
          </w:p>
          <w:p w:rsidR="00D33A00" w:rsidRDefault="00D33A00" w:rsidP="008658F0">
            <w:pPr>
              <w:pStyle w:val="2"/>
              <w:numPr>
                <w:ilvl w:val="0"/>
                <w:numId w:val="5"/>
              </w:numPr>
              <w:ind w:firstLineChars="0"/>
              <w:rPr>
                <w:rFonts w:eastAsia="仿宋_GB2312"/>
              </w:rPr>
            </w:pPr>
            <w:r>
              <w:rPr>
                <w:rFonts w:eastAsia="仿宋_GB2312" w:hint="eastAsia"/>
              </w:rPr>
              <w:t>能提供监督、记录和评估资源质量活动的执行结果数据。</w:t>
            </w:r>
          </w:p>
          <w:p w:rsidR="00D33A00" w:rsidRDefault="00D33A00" w:rsidP="008658F0">
            <w:pPr>
              <w:pStyle w:val="2"/>
              <w:numPr>
                <w:ilvl w:val="0"/>
                <w:numId w:val="6"/>
              </w:numPr>
              <w:ind w:firstLineChars="0"/>
              <w:rPr>
                <w:rFonts w:eastAsia="仿宋_GB2312"/>
              </w:rPr>
            </w:pPr>
            <w:r>
              <w:rPr>
                <w:rFonts w:eastAsia="仿宋_GB2312" w:hint="eastAsia"/>
              </w:rPr>
              <w:t>提交任务书中至少</w:t>
            </w:r>
            <w:r>
              <w:rPr>
                <w:rFonts w:eastAsia="仿宋_GB2312"/>
              </w:rPr>
              <w:t>6</w:t>
            </w:r>
            <w:r>
              <w:rPr>
                <w:rFonts w:eastAsia="仿宋_GB2312" w:hint="eastAsia"/>
              </w:rPr>
              <w:t>门的标准化课程质量报告和相应的在线（混合）教学标准（规范）文件。</w:t>
            </w:r>
          </w:p>
        </w:tc>
      </w:tr>
      <w:tr w:rsidR="00D33A00" w:rsidTr="008658F0">
        <w:trPr>
          <w:trHeight w:val="1550"/>
          <w:jc w:val="center"/>
        </w:trPr>
        <w:tc>
          <w:tcPr>
            <w:tcW w:w="1590" w:type="dxa"/>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lastRenderedPageBreak/>
              <w:t>2.</w:t>
            </w:r>
            <w:r>
              <w:rPr>
                <w:rFonts w:ascii="Times New Roman" w:eastAsia="仿宋_GB2312" w:hAnsi="Times New Roman"/>
              </w:rPr>
              <w:t>资源应用</w:t>
            </w:r>
            <w:r>
              <w:rPr>
                <w:rFonts w:ascii="Times New Roman" w:eastAsia="仿宋_GB2312" w:hAnsi="Times New Roman"/>
              </w:rPr>
              <w:br/>
            </w:r>
            <w:r>
              <w:rPr>
                <w:rFonts w:ascii="Times New Roman" w:eastAsia="仿宋_GB2312" w:hAnsi="Times New Roman"/>
              </w:rPr>
              <w:t>（</w:t>
            </w:r>
            <w:r>
              <w:rPr>
                <w:rFonts w:ascii="Times New Roman" w:eastAsia="仿宋_GB2312" w:hAnsi="Times New Roman"/>
              </w:rPr>
              <w:t>50%</w:t>
            </w:r>
            <w:r>
              <w:rPr>
                <w:rFonts w:ascii="Times New Roman" w:eastAsia="仿宋_GB2312" w:hAnsi="Times New Roman"/>
              </w:rPr>
              <w:t>）</w:t>
            </w:r>
          </w:p>
        </w:tc>
        <w:tc>
          <w:tcPr>
            <w:tcW w:w="1104" w:type="dxa"/>
            <w:shd w:val="clear" w:color="auto" w:fill="auto"/>
            <w:vAlign w:val="center"/>
          </w:tcPr>
          <w:p w:rsidR="00D33A00" w:rsidRDefault="00D33A00" w:rsidP="008658F0">
            <w:pPr>
              <w:jc w:val="center"/>
              <w:rPr>
                <w:rFonts w:ascii="Times New Roman" w:eastAsia="仿宋_GB2312" w:hAnsi="Times New Roman"/>
              </w:rPr>
            </w:pPr>
            <w:r>
              <w:rPr>
                <w:rFonts w:ascii="Times New Roman" w:eastAsia="仿宋_GB2312" w:hAnsi="Times New Roman"/>
              </w:rPr>
              <w:t>2.1</w:t>
            </w:r>
            <w:r>
              <w:rPr>
                <w:rFonts w:ascii="Times New Roman" w:eastAsia="仿宋_GB2312" w:hAnsi="Times New Roman"/>
              </w:rPr>
              <w:t>功能实现</w:t>
            </w:r>
          </w:p>
          <w:p w:rsidR="00D33A00" w:rsidRDefault="00D33A00" w:rsidP="008658F0">
            <w:pPr>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10%</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7"/>
              </w:numPr>
              <w:ind w:firstLineChars="0"/>
              <w:rPr>
                <w:rFonts w:eastAsia="仿宋_GB2312"/>
              </w:rPr>
            </w:pPr>
            <w:r>
              <w:rPr>
                <w:rFonts w:eastAsia="仿宋_GB2312" w:hint="eastAsia"/>
              </w:rPr>
              <w:t>学生、教师、企业员工和社会学习者，均可以方便注册资源库，自主选择进行系统化、个性化的学习。</w:t>
            </w:r>
          </w:p>
          <w:p w:rsidR="00D33A00" w:rsidRDefault="00D33A00" w:rsidP="008658F0">
            <w:pPr>
              <w:pStyle w:val="2"/>
              <w:numPr>
                <w:ilvl w:val="0"/>
                <w:numId w:val="7"/>
              </w:numPr>
              <w:ind w:firstLineChars="0"/>
              <w:rPr>
                <w:rFonts w:eastAsia="仿宋_GB2312"/>
              </w:rPr>
            </w:pPr>
            <w:r>
              <w:rPr>
                <w:rFonts w:eastAsia="仿宋_GB2312" w:hint="eastAsia"/>
              </w:rPr>
              <w:t>教师可以针对不同的教授对象和教学要求，利用资源库灵活组织教学内容、辅助教学实施。</w:t>
            </w:r>
          </w:p>
          <w:p w:rsidR="00D33A00" w:rsidRDefault="00D33A00" w:rsidP="008658F0">
            <w:pPr>
              <w:pStyle w:val="2"/>
              <w:numPr>
                <w:ilvl w:val="0"/>
                <w:numId w:val="7"/>
              </w:numPr>
              <w:ind w:firstLineChars="0"/>
              <w:rPr>
                <w:rFonts w:eastAsia="仿宋_GB2312"/>
                <w:sz w:val="22"/>
              </w:rPr>
            </w:pPr>
            <w:r>
              <w:rPr>
                <w:rFonts w:eastAsia="仿宋_GB2312" w:hint="eastAsia"/>
              </w:rPr>
              <w:t>共享平台框架设计合理、先进，交互性好，界面视觉表现规范、美观，导航清晰，资源库素材或课程能以知识点、技能点的为线索系统呈现，平台运行公网上，响应速度快。</w:t>
            </w:r>
          </w:p>
          <w:p w:rsidR="00D33A00" w:rsidRDefault="00D33A00" w:rsidP="008658F0">
            <w:pPr>
              <w:pStyle w:val="2"/>
              <w:numPr>
                <w:ilvl w:val="0"/>
                <w:numId w:val="8"/>
              </w:numPr>
              <w:ind w:firstLineChars="0"/>
              <w:rPr>
                <w:rFonts w:eastAsia="仿宋_GB2312"/>
                <w:kern w:val="0"/>
                <w:sz w:val="22"/>
              </w:rPr>
            </w:pPr>
            <w:r>
              <w:rPr>
                <w:rFonts w:eastAsia="仿宋_GB2312" w:hint="eastAsia"/>
              </w:rPr>
              <w:t>使用界面人性化，用户体验好。</w:t>
            </w:r>
          </w:p>
        </w:tc>
      </w:tr>
      <w:tr w:rsidR="00D33A00" w:rsidTr="008658F0">
        <w:trPr>
          <w:trHeight w:val="498"/>
          <w:jc w:val="center"/>
        </w:trPr>
        <w:tc>
          <w:tcPr>
            <w:tcW w:w="1590" w:type="dxa"/>
            <w:shd w:val="clear" w:color="auto" w:fill="auto"/>
            <w:vAlign w:val="center"/>
          </w:tcPr>
          <w:p w:rsidR="00D33A00" w:rsidRDefault="00D33A00" w:rsidP="008658F0">
            <w:pPr>
              <w:jc w:val="center"/>
              <w:rPr>
                <w:rFonts w:ascii="Times New Roman" w:eastAsia="黑体" w:hAnsi="Times New Roman" w:cs="黑体"/>
              </w:rPr>
            </w:pPr>
            <w:r>
              <w:rPr>
                <w:rFonts w:ascii="Times New Roman" w:eastAsia="黑体" w:hAnsi="Times New Roman" w:cs="黑体" w:hint="eastAsia"/>
              </w:rPr>
              <w:t>主要指标</w:t>
            </w:r>
          </w:p>
        </w:tc>
        <w:tc>
          <w:tcPr>
            <w:tcW w:w="1104" w:type="dxa"/>
            <w:shd w:val="clear" w:color="auto" w:fill="auto"/>
            <w:vAlign w:val="center"/>
          </w:tcPr>
          <w:p w:rsidR="00D33A00" w:rsidRDefault="00D33A00" w:rsidP="008658F0">
            <w:pPr>
              <w:adjustRightInd w:val="0"/>
              <w:snapToGrid w:val="0"/>
              <w:jc w:val="center"/>
              <w:rPr>
                <w:rFonts w:ascii="Times New Roman" w:eastAsia="黑体" w:hAnsi="Times New Roman" w:cs="黑体"/>
              </w:rPr>
            </w:pPr>
            <w:r>
              <w:rPr>
                <w:rFonts w:ascii="Times New Roman" w:eastAsia="黑体" w:hAnsi="Times New Roman" w:cs="黑体" w:hint="eastAsia"/>
              </w:rPr>
              <w:t>主要</w:t>
            </w:r>
          </w:p>
          <w:p w:rsidR="00D33A00" w:rsidRDefault="00D33A00" w:rsidP="008658F0">
            <w:pPr>
              <w:adjustRightInd w:val="0"/>
              <w:snapToGrid w:val="0"/>
              <w:jc w:val="center"/>
              <w:rPr>
                <w:rFonts w:ascii="Times New Roman" w:eastAsia="黑体" w:hAnsi="Times New Roman" w:cs="黑体"/>
              </w:rPr>
            </w:pPr>
            <w:r>
              <w:rPr>
                <w:rFonts w:ascii="Times New Roman" w:eastAsia="黑体" w:hAnsi="Times New Roman" w:cs="黑体" w:hint="eastAsia"/>
              </w:rPr>
              <w:t>观测点</w:t>
            </w:r>
          </w:p>
        </w:tc>
        <w:tc>
          <w:tcPr>
            <w:tcW w:w="11366" w:type="dxa"/>
            <w:shd w:val="clear" w:color="auto" w:fill="auto"/>
            <w:vAlign w:val="center"/>
          </w:tcPr>
          <w:p w:rsidR="00D33A00" w:rsidRDefault="00D33A00" w:rsidP="008658F0">
            <w:pPr>
              <w:jc w:val="center"/>
              <w:rPr>
                <w:rFonts w:ascii="Times New Roman" w:eastAsia="黑体" w:hAnsi="Times New Roman" w:cs="黑体"/>
              </w:rPr>
            </w:pPr>
            <w:r>
              <w:rPr>
                <w:rFonts w:ascii="Times New Roman" w:eastAsia="黑体" w:hAnsi="Times New Roman" w:cs="黑体" w:hint="eastAsia"/>
              </w:rPr>
              <w:t>观测点内涵说明</w:t>
            </w:r>
          </w:p>
        </w:tc>
      </w:tr>
      <w:tr w:rsidR="00D33A00" w:rsidTr="008658F0">
        <w:trPr>
          <w:trHeight w:val="2018"/>
          <w:jc w:val="center"/>
        </w:trPr>
        <w:tc>
          <w:tcPr>
            <w:tcW w:w="1590" w:type="dxa"/>
            <w:vMerge w:val="restart"/>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续前页</w:t>
            </w:r>
            <w:r>
              <w:rPr>
                <w:rFonts w:ascii="Times New Roman" w:eastAsia="仿宋_GB2312" w:hAnsi="Times New Roman"/>
              </w:rPr>
              <w:t>)</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rPr>
              <w:t>资源应用</w:t>
            </w:r>
            <w:r>
              <w:rPr>
                <w:rFonts w:ascii="Times New Roman" w:eastAsia="仿宋_GB2312" w:hAnsi="Times New Roman"/>
              </w:rPr>
              <w:br/>
            </w:r>
            <w:r>
              <w:rPr>
                <w:rFonts w:ascii="Times New Roman" w:eastAsia="仿宋_GB2312" w:hAnsi="Times New Roman"/>
              </w:rPr>
              <w:t>（</w:t>
            </w:r>
            <w:r>
              <w:rPr>
                <w:rFonts w:ascii="Times New Roman" w:eastAsia="仿宋_GB2312" w:hAnsi="Times New Roman"/>
              </w:rPr>
              <w:t>50%</w:t>
            </w:r>
            <w:r>
              <w:rPr>
                <w:rFonts w:ascii="Times New Roman" w:eastAsia="仿宋_GB2312" w:hAnsi="Times New Roman"/>
              </w:rPr>
              <w:t>）</w:t>
            </w: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2.2</w:t>
            </w:r>
            <w:r>
              <w:rPr>
                <w:rFonts w:ascii="Times New Roman" w:eastAsia="仿宋_GB2312" w:hAnsi="Times New Roman"/>
              </w:rPr>
              <w:t>基本应用</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25%</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9"/>
              </w:numPr>
              <w:spacing w:line="260" w:lineRule="exact"/>
              <w:ind w:firstLineChars="0"/>
              <w:rPr>
                <w:rFonts w:eastAsia="仿宋_GB2312"/>
              </w:rPr>
            </w:pPr>
            <w:r>
              <w:rPr>
                <w:rFonts w:eastAsia="仿宋_GB2312" w:hint="eastAsia"/>
              </w:rPr>
              <w:t>资源库支持线上教学或线上线下混合教学，促进教与学的改革，探索出教与学、教与教、学与学互动的专业教学模式。</w:t>
            </w:r>
          </w:p>
          <w:p w:rsidR="00D33A00" w:rsidRDefault="00D33A00" w:rsidP="008658F0">
            <w:pPr>
              <w:pStyle w:val="2"/>
              <w:numPr>
                <w:ilvl w:val="0"/>
                <w:numId w:val="9"/>
              </w:numPr>
              <w:spacing w:line="260" w:lineRule="exact"/>
              <w:ind w:firstLineChars="0"/>
              <w:rPr>
                <w:rFonts w:eastAsia="仿宋_GB2312"/>
              </w:rPr>
            </w:pPr>
            <w:r>
              <w:rPr>
                <w:rFonts w:eastAsia="仿宋_GB2312" w:hint="eastAsia"/>
              </w:rPr>
              <w:t>教师率先使用，主持院校相应专业教师实名注册比例不低于</w:t>
            </w:r>
            <w:r>
              <w:rPr>
                <w:rFonts w:eastAsia="仿宋_GB2312"/>
              </w:rPr>
              <w:t>90%</w:t>
            </w:r>
            <w:r>
              <w:rPr>
                <w:rFonts w:eastAsia="仿宋_GB2312" w:hint="eastAsia"/>
              </w:rPr>
              <w:t>，使用资源库进行专业教学的学时数占专业课总学时的比例达</w:t>
            </w:r>
            <w:r>
              <w:rPr>
                <w:rFonts w:eastAsia="仿宋_GB2312"/>
              </w:rPr>
              <w:t>60%</w:t>
            </w:r>
            <w:r>
              <w:rPr>
                <w:rFonts w:eastAsia="仿宋_GB2312" w:hint="eastAsia"/>
              </w:rPr>
              <w:t>以上，参与建设院校该比例达</w:t>
            </w:r>
            <w:r>
              <w:rPr>
                <w:rFonts w:eastAsia="仿宋_GB2312"/>
              </w:rPr>
              <w:t>40%</w:t>
            </w:r>
            <w:r>
              <w:rPr>
                <w:rFonts w:eastAsia="仿宋_GB2312" w:hint="eastAsia"/>
              </w:rPr>
              <w:t>以上</w:t>
            </w:r>
            <w:r>
              <w:rPr>
                <w:rStyle w:val="a5"/>
                <w:rFonts w:eastAsia="仿宋_GB2312"/>
              </w:rPr>
              <w:footnoteReference w:id="1"/>
            </w:r>
            <w:r>
              <w:rPr>
                <w:rFonts w:eastAsia="仿宋_GB2312" w:hint="eastAsia"/>
              </w:rPr>
              <w:t>，课程使用率达</w:t>
            </w:r>
            <w:r>
              <w:rPr>
                <w:rFonts w:eastAsia="仿宋_GB2312"/>
              </w:rPr>
              <w:t>100%</w:t>
            </w:r>
            <w:r>
              <w:rPr>
                <w:rFonts w:eastAsia="仿宋_GB2312" w:hint="eastAsia"/>
              </w:rPr>
              <w:t>，题库题目使用率达</w:t>
            </w:r>
            <w:r>
              <w:rPr>
                <w:rFonts w:eastAsia="仿宋_GB2312"/>
              </w:rPr>
              <w:t>60%</w:t>
            </w:r>
            <w:r>
              <w:rPr>
                <w:rFonts w:eastAsia="仿宋_GB2312" w:hint="eastAsia"/>
              </w:rPr>
              <w:t>以上。</w:t>
            </w:r>
          </w:p>
          <w:p w:rsidR="00D33A00" w:rsidRDefault="00D33A00" w:rsidP="008658F0">
            <w:pPr>
              <w:pStyle w:val="2"/>
              <w:numPr>
                <w:ilvl w:val="0"/>
                <w:numId w:val="9"/>
              </w:numPr>
              <w:spacing w:line="260" w:lineRule="exact"/>
              <w:ind w:firstLineChars="0"/>
              <w:rPr>
                <w:rFonts w:eastAsia="仿宋_GB2312"/>
              </w:rPr>
            </w:pPr>
            <w:r>
              <w:rPr>
                <w:rFonts w:eastAsia="仿宋_GB2312" w:hint="eastAsia"/>
              </w:rPr>
              <w:t>学生广泛使用，主持院校和参与建设院校的本专业学生实名注册比例不低于</w:t>
            </w:r>
            <w:r>
              <w:rPr>
                <w:rFonts w:eastAsia="仿宋_GB2312"/>
              </w:rPr>
              <w:t>90%</w:t>
            </w:r>
            <w:r>
              <w:rPr>
                <w:rFonts w:eastAsia="仿宋_GB2312" w:hint="eastAsia"/>
              </w:rPr>
              <w:t>。</w:t>
            </w:r>
          </w:p>
          <w:p w:rsidR="00D33A00" w:rsidRDefault="00D33A00" w:rsidP="008658F0">
            <w:pPr>
              <w:pStyle w:val="2"/>
              <w:numPr>
                <w:ilvl w:val="0"/>
                <w:numId w:val="9"/>
              </w:numPr>
              <w:spacing w:line="260" w:lineRule="exact"/>
              <w:ind w:firstLineChars="0"/>
              <w:rPr>
                <w:rFonts w:eastAsia="仿宋_GB2312"/>
              </w:rPr>
            </w:pPr>
            <w:r>
              <w:rPr>
                <w:rFonts w:eastAsia="仿宋_GB2312" w:hint="eastAsia"/>
              </w:rPr>
              <w:t>各类用户积极使用资源库浏览、下载资源，参与课程学习和线上互动等，实名教师和学生中无活动用户比例不超过</w:t>
            </w:r>
            <w:r>
              <w:rPr>
                <w:rFonts w:eastAsia="仿宋_GB2312"/>
              </w:rPr>
              <w:t>10%</w:t>
            </w:r>
            <w:r>
              <w:rPr>
                <w:rFonts w:eastAsia="仿宋_GB2312" w:hint="eastAsia"/>
              </w:rPr>
              <w:t>。</w:t>
            </w:r>
          </w:p>
          <w:p w:rsidR="00D33A00" w:rsidRDefault="00D33A00" w:rsidP="008658F0">
            <w:pPr>
              <w:pStyle w:val="2"/>
              <w:numPr>
                <w:ilvl w:val="0"/>
                <w:numId w:val="9"/>
              </w:numPr>
              <w:spacing w:line="260" w:lineRule="exact"/>
              <w:ind w:firstLineChars="0"/>
              <w:rPr>
                <w:rFonts w:eastAsia="仿宋_GB2312"/>
              </w:rPr>
            </w:pPr>
            <w:r>
              <w:rPr>
                <w:rFonts w:eastAsia="仿宋_GB2312" w:hint="eastAsia"/>
              </w:rPr>
              <w:t>标准化课程开课不少于</w:t>
            </w:r>
            <w:r>
              <w:rPr>
                <w:rFonts w:eastAsia="仿宋_GB2312"/>
              </w:rPr>
              <w:t>2</w:t>
            </w:r>
            <w:r>
              <w:rPr>
                <w:rFonts w:eastAsia="仿宋_GB2312" w:hint="eastAsia"/>
              </w:rPr>
              <w:t>期，</w:t>
            </w:r>
            <w:proofErr w:type="gramStart"/>
            <w:r>
              <w:rPr>
                <w:rFonts w:eastAsia="仿宋_GB2312" w:hint="eastAsia"/>
              </w:rPr>
              <w:t>且教学</w:t>
            </w:r>
            <w:proofErr w:type="gramEnd"/>
            <w:r>
              <w:rPr>
                <w:rFonts w:eastAsia="仿宋_GB2312" w:hint="eastAsia"/>
              </w:rPr>
              <w:t>活动完整，提供完整课程质量报告。</w:t>
            </w:r>
          </w:p>
          <w:p w:rsidR="00D33A00" w:rsidRDefault="00D33A00" w:rsidP="008658F0">
            <w:pPr>
              <w:pStyle w:val="2"/>
              <w:numPr>
                <w:ilvl w:val="0"/>
                <w:numId w:val="10"/>
              </w:numPr>
              <w:spacing w:line="260" w:lineRule="exact"/>
              <w:ind w:firstLineChars="0"/>
              <w:rPr>
                <w:rFonts w:eastAsia="仿宋_GB2312"/>
              </w:rPr>
            </w:pPr>
            <w:r>
              <w:rPr>
                <w:rFonts w:eastAsia="仿宋_GB2312" w:hint="eastAsia"/>
              </w:rPr>
              <w:t>发挥示范效应，辐射带动参与建设中高职院校其他专业教学改革。</w:t>
            </w:r>
          </w:p>
        </w:tc>
      </w:tr>
      <w:tr w:rsidR="00D33A00" w:rsidTr="008658F0">
        <w:trPr>
          <w:trHeight w:val="953"/>
          <w:jc w:val="center"/>
        </w:trPr>
        <w:tc>
          <w:tcPr>
            <w:tcW w:w="1590" w:type="dxa"/>
            <w:vMerge/>
            <w:shd w:val="clear" w:color="auto" w:fill="auto"/>
            <w:vAlign w:val="center"/>
          </w:tcPr>
          <w:p w:rsidR="00D33A00" w:rsidRDefault="00D33A00" w:rsidP="008658F0">
            <w:pPr>
              <w:spacing w:line="260" w:lineRule="exact"/>
              <w:rPr>
                <w:rFonts w:ascii="Times New Roman" w:eastAsia="仿宋_GB2312" w:hAnsi="Times New Roman"/>
              </w:rPr>
            </w:pP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2.3</w:t>
            </w:r>
            <w:r>
              <w:rPr>
                <w:rFonts w:ascii="Times New Roman" w:eastAsia="仿宋_GB2312" w:hAnsi="Times New Roman"/>
              </w:rPr>
              <w:t>校企融合</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1"/>
              </w:numPr>
              <w:spacing w:line="260" w:lineRule="exact"/>
              <w:ind w:firstLineChars="0"/>
              <w:rPr>
                <w:rFonts w:eastAsia="仿宋_GB2312"/>
              </w:rPr>
            </w:pPr>
            <w:r>
              <w:rPr>
                <w:rFonts w:eastAsia="仿宋_GB2312" w:hint="eastAsia"/>
              </w:rPr>
              <w:t>企业实质参与资源库规划、建设、应用和推广。</w:t>
            </w:r>
          </w:p>
          <w:p w:rsidR="00D33A00" w:rsidRDefault="00D33A00" w:rsidP="008658F0">
            <w:pPr>
              <w:pStyle w:val="2"/>
              <w:numPr>
                <w:ilvl w:val="0"/>
                <w:numId w:val="11"/>
              </w:numPr>
              <w:spacing w:line="260" w:lineRule="exact"/>
              <w:ind w:firstLineChars="0"/>
              <w:rPr>
                <w:rFonts w:eastAsia="仿宋_GB2312"/>
              </w:rPr>
            </w:pPr>
            <w:r>
              <w:rPr>
                <w:rFonts w:eastAsia="仿宋_GB2312" w:hint="eastAsia"/>
              </w:rPr>
              <w:t>企业为资源库建设提供实际案例和实质技术支持，在资源库平台发布新产品和新技术及相关培训课程。</w:t>
            </w:r>
          </w:p>
          <w:p w:rsidR="00D33A00" w:rsidRDefault="00D33A00" w:rsidP="008658F0">
            <w:pPr>
              <w:pStyle w:val="2"/>
              <w:numPr>
                <w:ilvl w:val="0"/>
                <w:numId w:val="12"/>
              </w:numPr>
              <w:spacing w:line="260" w:lineRule="exact"/>
              <w:ind w:firstLineChars="0"/>
              <w:rPr>
                <w:rFonts w:eastAsia="仿宋_GB2312"/>
              </w:rPr>
            </w:pPr>
            <w:r>
              <w:rPr>
                <w:rFonts w:eastAsia="仿宋_GB2312" w:hint="eastAsia"/>
              </w:rPr>
              <w:t>资源</w:t>
            </w:r>
            <w:proofErr w:type="gramStart"/>
            <w:r>
              <w:rPr>
                <w:rFonts w:eastAsia="仿宋_GB2312" w:hint="eastAsia"/>
              </w:rPr>
              <w:t>库联合</w:t>
            </w:r>
            <w:proofErr w:type="gramEnd"/>
            <w:r>
              <w:rPr>
                <w:rFonts w:eastAsia="仿宋_GB2312" w:hint="eastAsia"/>
              </w:rPr>
              <w:t>建设行业企业把资源库平台纳入职工继续教育、技能提升培训系统，提供相应文件证明。</w:t>
            </w:r>
          </w:p>
        </w:tc>
      </w:tr>
      <w:tr w:rsidR="00D33A00" w:rsidTr="008658F0">
        <w:trPr>
          <w:trHeight w:val="919"/>
          <w:jc w:val="center"/>
        </w:trPr>
        <w:tc>
          <w:tcPr>
            <w:tcW w:w="1590" w:type="dxa"/>
            <w:vMerge/>
            <w:shd w:val="clear" w:color="auto" w:fill="auto"/>
            <w:vAlign w:val="center"/>
          </w:tcPr>
          <w:p w:rsidR="00D33A00" w:rsidRDefault="00D33A00" w:rsidP="008658F0">
            <w:pPr>
              <w:spacing w:line="260" w:lineRule="exact"/>
              <w:jc w:val="center"/>
              <w:rPr>
                <w:rFonts w:ascii="Times New Roman" w:eastAsia="仿宋_GB2312" w:hAnsi="Times New Roman"/>
              </w:rPr>
            </w:pP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2.4</w:t>
            </w:r>
            <w:r>
              <w:rPr>
                <w:rFonts w:ascii="Times New Roman" w:eastAsia="仿宋_GB2312" w:hAnsi="Times New Roman"/>
              </w:rPr>
              <w:t>社会服务</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3"/>
              </w:numPr>
              <w:spacing w:line="260" w:lineRule="exact"/>
              <w:ind w:firstLineChars="0"/>
              <w:rPr>
                <w:rFonts w:eastAsia="仿宋_GB2312"/>
              </w:rPr>
            </w:pPr>
            <w:r>
              <w:rPr>
                <w:rFonts w:eastAsia="仿宋_GB2312" w:hint="eastAsia"/>
              </w:rPr>
              <w:t>各类用户可通过主流搜索引擎查找库内资源。</w:t>
            </w:r>
          </w:p>
          <w:p w:rsidR="00D33A00" w:rsidRDefault="00D33A00" w:rsidP="008658F0">
            <w:pPr>
              <w:pStyle w:val="2"/>
              <w:numPr>
                <w:ilvl w:val="0"/>
                <w:numId w:val="13"/>
              </w:numPr>
              <w:spacing w:line="260" w:lineRule="exact"/>
              <w:ind w:firstLineChars="0"/>
              <w:rPr>
                <w:rFonts w:eastAsia="仿宋_GB2312"/>
              </w:rPr>
            </w:pPr>
            <w:r>
              <w:rPr>
                <w:rFonts w:eastAsia="仿宋_GB2312" w:hint="eastAsia"/>
              </w:rPr>
              <w:t>企业员工和社会学习者应用资源</w:t>
            </w:r>
            <w:proofErr w:type="gramStart"/>
            <w:r>
              <w:rPr>
                <w:rFonts w:eastAsia="仿宋_GB2312" w:hint="eastAsia"/>
              </w:rPr>
              <w:t>库学习</w:t>
            </w:r>
            <w:proofErr w:type="gramEnd"/>
            <w:r>
              <w:rPr>
                <w:rFonts w:eastAsia="仿宋_GB2312" w:hint="eastAsia"/>
              </w:rPr>
              <w:t>频度较高、累计学习时间较长。</w:t>
            </w:r>
          </w:p>
          <w:p w:rsidR="00D33A00" w:rsidRDefault="00D33A00" w:rsidP="008658F0">
            <w:pPr>
              <w:pStyle w:val="2"/>
              <w:numPr>
                <w:ilvl w:val="0"/>
                <w:numId w:val="14"/>
              </w:numPr>
              <w:spacing w:line="260" w:lineRule="exact"/>
              <w:ind w:firstLineChars="0"/>
              <w:rPr>
                <w:rFonts w:eastAsia="仿宋_GB2312"/>
              </w:rPr>
            </w:pPr>
            <w:r>
              <w:rPr>
                <w:rFonts w:eastAsia="仿宋_GB2312" w:hint="eastAsia"/>
              </w:rPr>
              <w:t>形成服务学习型社会建设的品牌影响力，通过各类活动或媒体进行推广与宣传。</w:t>
            </w:r>
          </w:p>
        </w:tc>
      </w:tr>
      <w:tr w:rsidR="00D33A00" w:rsidTr="008658F0">
        <w:trPr>
          <w:trHeight w:val="1395"/>
          <w:jc w:val="center"/>
        </w:trPr>
        <w:tc>
          <w:tcPr>
            <w:tcW w:w="1590" w:type="dxa"/>
            <w:vMerge/>
            <w:shd w:val="clear" w:color="auto" w:fill="auto"/>
            <w:vAlign w:val="center"/>
          </w:tcPr>
          <w:p w:rsidR="00D33A00" w:rsidRDefault="00D33A00" w:rsidP="008658F0">
            <w:pPr>
              <w:spacing w:line="260" w:lineRule="exact"/>
              <w:rPr>
                <w:rFonts w:ascii="Times New Roman" w:eastAsia="仿宋_GB2312" w:hAnsi="Times New Roman"/>
              </w:rPr>
            </w:pP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2.5</w:t>
            </w:r>
            <w:r>
              <w:rPr>
                <w:rFonts w:ascii="Times New Roman" w:eastAsia="仿宋_GB2312" w:hAnsi="Times New Roman"/>
              </w:rPr>
              <w:t>特色与创新</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5"/>
              </w:numPr>
              <w:spacing w:line="260" w:lineRule="exact"/>
              <w:ind w:firstLineChars="0"/>
              <w:rPr>
                <w:rFonts w:eastAsia="仿宋_GB2312"/>
              </w:rPr>
            </w:pPr>
            <w:r>
              <w:rPr>
                <w:rFonts w:eastAsia="仿宋_GB2312" w:hint="eastAsia"/>
              </w:rPr>
              <w:t>坚持应用驱动，在深化本专业教学改革、提升教学信息化水平、为各类学习者提供个性化服务等方面深入探索、富有成效。</w:t>
            </w:r>
          </w:p>
          <w:p w:rsidR="00D33A00" w:rsidRDefault="00D33A00" w:rsidP="008658F0">
            <w:pPr>
              <w:pStyle w:val="2"/>
              <w:numPr>
                <w:ilvl w:val="0"/>
                <w:numId w:val="15"/>
              </w:numPr>
              <w:spacing w:line="260" w:lineRule="exact"/>
              <w:ind w:firstLineChars="0"/>
              <w:rPr>
                <w:rFonts w:eastAsia="仿宋_GB2312"/>
              </w:rPr>
            </w:pPr>
            <w:r>
              <w:rPr>
                <w:rFonts w:eastAsia="仿宋_GB2312" w:hint="eastAsia"/>
              </w:rPr>
              <w:t>建立健全资源认证标准。</w:t>
            </w:r>
          </w:p>
          <w:p w:rsidR="00D33A00" w:rsidRDefault="00D33A00" w:rsidP="008658F0">
            <w:pPr>
              <w:pStyle w:val="2"/>
              <w:numPr>
                <w:ilvl w:val="0"/>
                <w:numId w:val="15"/>
              </w:numPr>
              <w:spacing w:line="260" w:lineRule="exact"/>
              <w:ind w:firstLineChars="0"/>
              <w:rPr>
                <w:rFonts w:eastAsia="仿宋_GB2312"/>
              </w:rPr>
            </w:pPr>
            <w:r>
              <w:rPr>
                <w:rFonts w:eastAsia="仿宋_GB2312" w:hint="eastAsia"/>
              </w:rPr>
              <w:t>探索基于课程或模块的资源标准认证体系，建立校际课程互选、学分互认机制。</w:t>
            </w:r>
          </w:p>
          <w:p w:rsidR="00D33A00" w:rsidRDefault="00D33A00" w:rsidP="008658F0">
            <w:pPr>
              <w:pStyle w:val="2"/>
              <w:numPr>
                <w:ilvl w:val="0"/>
                <w:numId w:val="16"/>
              </w:numPr>
              <w:spacing w:line="260" w:lineRule="exact"/>
              <w:ind w:firstLineChars="0"/>
              <w:rPr>
                <w:rFonts w:eastAsia="仿宋_GB2312"/>
              </w:rPr>
            </w:pPr>
            <w:r>
              <w:rPr>
                <w:rFonts w:eastAsia="仿宋_GB2312" w:hint="eastAsia"/>
              </w:rPr>
              <w:t>能够利用资源</w:t>
            </w:r>
            <w:proofErr w:type="gramStart"/>
            <w:r>
              <w:rPr>
                <w:rFonts w:eastAsia="仿宋_GB2312" w:hint="eastAsia"/>
              </w:rPr>
              <w:t>库开展</w:t>
            </w:r>
            <w:proofErr w:type="gramEnd"/>
            <w:r>
              <w:rPr>
                <w:rFonts w:eastAsia="仿宋_GB2312" w:hint="eastAsia"/>
              </w:rPr>
              <w:t>创新创业、精准扶贫等特色应用。</w:t>
            </w:r>
          </w:p>
        </w:tc>
      </w:tr>
      <w:tr w:rsidR="00D33A00" w:rsidTr="008658F0">
        <w:trPr>
          <w:trHeight w:val="826"/>
          <w:jc w:val="center"/>
        </w:trPr>
        <w:tc>
          <w:tcPr>
            <w:tcW w:w="1590" w:type="dxa"/>
            <w:vMerge w:val="restart"/>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lastRenderedPageBreak/>
              <w:t>3.</w:t>
            </w:r>
            <w:r>
              <w:rPr>
                <w:rFonts w:ascii="Times New Roman" w:eastAsia="仿宋_GB2312" w:hAnsi="Times New Roman"/>
              </w:rPr>
              <w:t>资源更新</w:t>
            </w:r>
            <w:r>
              <w:rPr>
                <w:rFonts w:ascii="Times New Roman" w:eastAsia="仿宋_GB2312" w:hAnsi="Times New Roman"/>
              </w:rPr>
              <w:br/>
            </w:r>
            <w:r>
              <w:rPr>
                <w:rFonts w:ascii="Times New Roman" w:eastAsia="仿宋_GB2312" w:hAnsi="Times New Roman"/>
              </w:rPr>
              <w:t>（</w:t>
            </w:r>
            <w:r>
              <w:rPr>
                <w:rFonts w:ascii="Times New Roman" w:eastAsia="仿宋_GB2312" w:hAnsi="Times New Roman"/>
              </w:rPr>
              <w:t>15%</w:t>
            </w:r>
            <w:r>
              <w:rPr>
                <w:rFonts w:ascii="Times New Roman" w:eastAsia="仿宋_GB2312" w:hAnsi="Times New Roman"/>
              </w:rPr>
              <w:t>）</w:t>
            </w: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3.1</w:t>
            </w:r>
            <w:r>
              <w:rPr>
                <w:rFonts w:ascii="Times New Roman" w:eastAsia="仿宋_GB2312" w:hAnsi="Times New Roman"/>
              </w:rPr>
              <w:t>更新机制</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7%</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7"/>
              </w:numPr>
              <w:spacing w:line="260" w:lineRule="exact"/>
              <w:ind w:left="363" w:firstLineChars="0" w:hanging="363"/>
              <w:rPr>
                <w:rFonts w:eastAsia="仿宋_GB2312"/>
              </w:rPr>
            </w:pPr>
            <w:r>
              <w:rPr>
                <w:rFonts w:eastAsia="仿宋_GB2312" w:hint="eastAsia"/>
              </w:rPr>
              <w:t>持续投入机制。</w:t>
            </w:r>
          </w:p>
          <w:p w:rsidR="00D33A00" w:rsidRDefault="00D33A00" w:rsidP="008658F0">
            <w:pPr>
              <w:pStyle w:val="2"/>
              <w:numPr>
                <w:ilvl w:val="0"/>
                <w:numId w:val="18"/>
              </w:numPr>
              <w:spacing w:line="260" w:lineRule="exact"/>
              <w:ind w:left="363" w:firstLineChars="0" w:hanging="363"/>
              <w:rPr>
                <w:rFonts w:eastAsia="仿宋_GB2312"/>
              </w:rPr>
            </w:pPr>
            <w:r>
              <w:rPr>
                <w:rFonts w:eastAsia="仿宋_GB2312" w:hint="eastAsia"/>
              </w:rPr>
              <w:t>主持院校和参与建设院校在推进资源库建设和应用方面出台的有关制度文件（</w:t>
            </w:r>
            <w:proofErr w:type="gramStart"/>
            <w:r>
              <w:rPr>
                <w:rFonts w:eastAsia="仿宋_GB2312" w:hint="eastAsia"/>
              </w:rPr>
              <w:t>含子项目</w:t>
            </w:r>
            <w:proofErr w:type="gramEnd"/>
            <w:r>
              <w:rPr>
                <w:rFonts w:eastAsia="仿宋_GB2312" w:hint="eastAsia"/>
              </w:rPr>
              <w:t>级别认定、教师职称评聘、考核评价等）。</w:t>
            </w:r>
          </w:p>
        </w:tc>
      </w:tr>
      <w:tr w:rsidR="00D33A00" w:rsidTr="008658F0">
        <w:trPr>
          <w:trHeight w:val="782"/>
          <w:jc w:val="center"/>
        </w:trPr>
        <w:tc>
          <w:tcPr>
            <w:tcW w:w="1590" w:type="dxa"/>
            <w:vMerge/>
            <w:shd w:val="clear" w:color="auto" w:fill="auto"/>
            <w:vAlign w:val="center"/>
          </w:tcPr>
          <w:p w:rsidR="00D33A00" w:rsidRDefault="00D33A00" w:rsidP="008658F0">
            <w:pPr>
              <w:spacing w:line="260" w:lineRule="exact"/>
              <w:rPr>
                <w:rFonts w:ascii="Times New Roman" w:eastAsia="仿宋_GB2312" w:hAnsi="Times New Roman"/>
              </w:rPr>
            </w:pPr>
          </w:p>
        </w:tc>
        <w:tc>
          <w:tcPr>
            <w:tcW w:w="1104" w:type="dxa"/>
            <w:shd w:val="clear" w:color="auto" w:fill="auto"/>
            <w:vAlign w:val="center"/>
          </w:tcPr>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3.2</w:t>
            </w:r>
            <w:r>
              <w:rPr>
                <w:rFonts w:ascii="Times New Roman" w:eastAsia="仿宋_GB2312" w:hAnsi="Times New Roman"/>
              </w:rPr>
              <w:t>更新实效</w:t>
            </w:r>
          </w:p>
          <w:p w:rsidR="00D33A00" w:rsidRDefault="00D33A00" w:rsidP="008658F0">
            <w:pPr>
              <w:spacing w:line="260" w:lineRule="exact"/>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rPr>
              <w:t>8%</w:t>
            </w:r>
            <w:r>
              <w:rPr>
                <w:rFonts w:ascii="Times New Roman" w:eastAsia="仿宋_GB2312" w:hAnsi="Times New Roman"/>
              </w:rPr>
              <w:t>）</w:t>
            </w:r>
          </w:p>
        </w:tc>
        <w:tc>
          <w:tcPr>
            <w:tcW w:w="11366" w:type="dxa"/>
            <w:shd w:val="clear" w:color="auto" w:fill="auto"/>
            <w:vAlign w:val="center"/>
          </w:tcPr>
          <w:p w:rsidR="00D33A00" w:rsidRDefault="00D33A00" w:rsidP="008658F0">
            <w:pPr>
              <w:pStyle w:val="2"/>
              <w:numPr>
                <w:ilvl w:val="0"/>
                <w:numId w:val="19"/>
              </w:numPr>
              <w:spacing w:line="260" w:lineRule="exact"/>
              <w:ind w:left="363" w:firstLineChars="0" w:hanging="363"/>
              <w:rPr>
                <w:rFonts w:eastAsia="仿宋_GB2312"/>
              </w:rPr>
            </w:pPr>
            <w:r>
              <w:rPr>
                <w:rFonts w:eastAsia="仿宋_GB2312" w:hint="eastAsia"/>
              </w:rPr>
              <w:t>有明确的更新经费投入。</w:t>
            </w:r>
          </w:p>
          <w:p w:rsidR="00D33A00" w:rsidRDefault="00D33A00" w:rsidP="008658F0">
            <w:pPr>
              <w:pStyle w:val="2"/>
              <w:numPr>
                <w:ilvl w:val="0"/>
                <w:numId w:val="19"/>
              </w:numPr>
              <w:spacing w:line="260" w:lineRule="exact"/>
              <w:ind w:left="363" w:firstLineChars="0" w:hanging="363"/>
              <w:rPr>
                <w:rFonts w:eastAsia="仿宋_GB2312"/>
              </w:rPr>
            </w:pPr>
            <w:r>
              <w:rPr>
                <w:rFonts w:eastAsia="仿宋_GB2312" w:hint="eastAsia"/>
              </w:rPr>
              <w:t>资源内容年更新比例不低于存储总量的</w:t>
            </w:r>
            <w:r>
              <w:rPr>
                <w:rFonts w:eastAsia="仿宋_GB2312"/>
              </w:rPr>
              <w:t>10%</w:t>
            </w:r>
            <w:r>
              <w:rPr>
                <w:rFonts w:eastAsia="仿宋_GB2312" w:hint="eastAsia"/>
              </w:rPr>
              <w:t>。</w:t>
            </w:r>
          </w:p>
          <w:p w:rsidR="00D33A00" w:rsidRDefault="00D33A00" w:rsidP="008658F0">
            <w:pPr>
              <w:pStyle w:val="2"/>
              <w:numPr>
                <w:ilvl w:val="0"/>
                <w:numId w:val="20"/>
              </w:numPr>
              <w:spacing w:line="260" w:lineRule="exact"/>
              <w:ind w:left="363" w:firstLineChars="0" w:hanging="363"/>
              <w:rPr>
                <w:rFonts w:eastAsia="仿宋_GB2312"/>
              </w:rPr>
            </w:pPr>
            <w:r>
              <w:rPr>
                <w:rFonts w:eastAsia="仿宋_GB2312" w:hint="eastAsia"/>
              </w:rPr>
              <w:t>资源</w:t>
            </w:r>
            <w:proofErr w:type="gramStart"/>
            <w:r>
              <w:rPr>
                <w:rFonts w:eastAsia="仿宋_GB2312" w:hint="eastAsia"/>
              </w:rPr>
              <w:t>库用户</w:t>
            </w:r>
            <w:proofErr w:type="gramEnd"/>
            <w:r>
              <w:rPr>
                <w:rFonts w:eastAsia="仿宋_GB2312" w:hint="eastAsia"/>
              </w:rPr>
              <w:t>数量每年实现一定比例增长。</w:t>
            </w:r>
          </w:p>
        </w:tc>
      </w:tr>
    </w:tbl>
    <w:p w:rsidR="00A67652" w:rsidRPr="00D33A00" w:rsidRDefault="00C27B43"/>
    <w:sectPr w:rsidR="00A67652" w:rsidRPr="00D33A00" w:rsidSect="00D33A0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43" w:rsidRDefault="00C27B43" w:rsidP="00D33A00">
      <w:r>
        <w:separator/>
      </w:r>
    </w:p>
  </w:endnote>
  <w:endnote w:type="continuationSeparator" w:id="0">
    <w:p w:rsidR="00C27B43" w:rsidRDefault="00C27B43" w:rsidP="00D3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43" w:rsidRDefault="00C27B43" w:rsidP="00D33A00">
      <w:r>
        <w:separator/>
      </w:r>
    </w:p>
  </w:footnote>
  <w:footnote w:type="continuationSeparator" w:id="0">
    <w:p w:rsidR="00C27B43" w:rsidRDefault="00C27B43" w:rsidP="00D33A00">
      <w:r>
        <w:continuationSeparator/>
      </w:r>
    </w:p>
  </w:footnote>
  <w:footnote w:id="1">
    <w:p w:rsidR="00D33A00" w:rsidRDefault="00D33A00" w:rsidP="00D33A00">
      <w:pPr>
        <w:pStyle w:val="a4"/>
        <w:spacing w:beforeLines="50" w:before="156" w:line="120" w:lineRule="auto"/>
      </w:pPr>
      <w:r>
        <w:rPr>
          <w:rFonts w:ascii="仿宋_GB2312" w:eastAsia="仿宋_GB2312" w:hAnsi="宋体" w:cs="宋体" w:hint="eastAsia"/>
          <w:kern w:val="0"/>
          <w:sz w:val="22"/>
        </w:rPr>
        <w:t>注：</w:t>
      </w:r>
      <w:r>
        <w:rPr>
          <w:rStyle w:val="a5"/>
        </w:rPr>
        <w:footnoteRef/>
      </w:r>
      <w:r>
        <w:rPr>
          <w:rFonts w:ascii="仿宋_GB2312" w:eastAsia="仿宋_GB2312" w:hAnsi="宋体" w:cs="宋体" w:hint="eastAsia"/>
          <w:kern w:val="0"/>
          <w:sz w:val="22"/>
        </w:rPr>
        <w:t>主持院校、参与建设院校相应专业教师使用资源库进行专业教学的学时数占专业课总学时比例情况须在《总结报告》中说明。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11524"/>
    <w:multiLevelType w:val="multilevel"/>
    <w:tmpl w:val="29B1152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6E216C"/>
    <w:multiLevelType w:val="multilevel"/>
    <w:tmpl w:val="306E21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3719C7"/>
    <w:multiLevelType w:val="multilevel"/>
    <w:tmpl w:val="453719C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DD60F3"/>
    <w:multiLevelType w:val="multilevel"/>
    <w:tmpl w:val="49DD60F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1E34F6"/>
    <w:multiLevelType w:val="multilevel"/>
    <w:tmpl w:val="4A1E34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8464EC"/>
    <w:multiLevelType w:val="multilevel"/>
    <w:tmpl w:val="558464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417A97"/>
    <w:multiLevelType w:val="multilevel"/>
    <w:tmpl w:val="5F417A9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7E60D6C"/>
    <w:multiLevelType w:val="multilevel"/>
    <w:tmpl w:val="77E60D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9615897"/>
    <w:multiLevelType w:val="multilevel"/>
    <w:tmpl w:val="796158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C093CC2"/>
    <w:multiLevelType w:val="multilevel"/>
    <w:tmpl w:val="7C093CC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00"/>
    <w:rsid w:val="007C4FA4"/>
    <w:rsid w:val="00C27B43"/>
    <w:rsid w:val="00C94DC3"/>
    <w:rsid w:val="00D33A00"/>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4A88-7D6E-4CAF-935D-59B8C2F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33A00"/>
    <w:pPr>
      <w:jc w:val="left"/>
    </w:pPr>
  </w:style>
  <w:style w:type="character" w:customStyle="1" w:styleId="Char">
    <w:name w:val="批注文字 Char"/>
    <w:basedOn w:val="a0"/>
    <w:link w:val="a3"/>
    <w:uiPriority w:val="99"/>
    <w:semiHidden/>
    <w:qFormat/>
    <w:rsid w:val="00D33A00"/>
  </w:style>
  <w:style w:type="paragraph" w:styleId="a4">
    <w:name w:val="footnote text"/>
    <w:basedOn w:val="a"/>
    <w:link w:val="Char0"/>
    <w:uiPriority w:val="99"/>
    <w:unhideWhenUsed/>
    <w:qFormat/>
    <w:rsid w:val="00D33A00"/>
    <w:pPr>
      <w:snapToGrid w:val="0"/>
      <w:jc w:val="left"/>
    </w:pPr>
    <w:rPr>
      <w:sz w:val="18"/>
      <w:szCs w:val="18"/>
    </w:rPr>
  </w:style>
  <w:style w:type="character" w:customStyle="1" w:styleId="Char0">
    <w:name w:val="脚注文本 Char"/>
    <w:basedOn w:val="a0"/>
    <w:link w:val="a4"/>
    <w:uiPriority w:val="99"/>
    <w:qFormat/>
    <w:rsid w:val="00D33A00"/>
    <w:rPr>
      <w:sz w:val="18"/>
      <w:szCs w:val="18"/>
    </w:rPr>
  </w:style>
  <w:style w:type="character" w:styleId="a5">
    <w:name w:val="footnote reference"/>
    <w:uiPriority w:val="99"/>
    <w:unhideWhenUsed/>
    <w:qFormat/>
    <w:rsid w:val="00D33A00"/>
    <w:rPr>
      <w:vertAlign w:val="superscript"/>
    </w:rPr>
  </w:style>
  <w:style w:type="paragraph" w:customStyle="1" w:styleId="2">
    <w:name w:val="列出段落2"/>
    <w:basedOn w:val="a"/>
    <w:uiPriority w:val="34"/>
    <w:qFormat/>
    <w:rsid w:val="00D33A00"/>
    <w:pPr>
      <w:ind w:firstLineChars="200" w:firstLine="420"/>
    </w:pPr>
    <w:rPr>
      <w:rFonts w:ascii="Times New Roman" w:hAnsi="Times New Roman"/>
      <w:szCs w:val="24"/>
    </w:rPr>
  </w:style>
  <w:style w:type="paragraph" w:styleId="a6">
    <w:name w:val="List Paragraph"/>
    <w:basedOn w:val="a"/>
    <w:uiPriority w:val="99"/>
    <w:qFormat/>
    <w:rsid w:val="00D33A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1904</Characters>
  <Application>Microsoft Office Word</Application>
  <DocSecurity>0</DocSecurity>
  <Lines>15</Lines>
  <Paragraphs>4</Paragraphs>
  <ScaleCrop>false</ScaleCrop>
  <Company>CHINA</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2021-08-06T05:55:00Z</dcterms:created>
  <dcterms:modified xsi:type="dcterms:W3CDTF">2021-08-06T05:56:00Z</dcterms:modified>
</cp:coreProperties>
</file>