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66" w:rsidRDefault="009A2D66" w:rsidP="009A2D66">
      <w:pPr>
        <w:rPr>
          <w:rFonts w:ascii="Times New Roman" w:eastAsia="仿宋_GB2312" w:hAnsi="Times New Roman" w:cs="Tahoma" w:hint="eastAsia"/>
          <w:kern w:val="0"/>
          <w:sz w:val="32"/>
          <w:szCs w:val="32"/>
        </w:rPr>
      </w:pPr>
      <w:r>
        <w:rPr>
          <w:rFonts w:ascii="Times New Roman" w:eastAsia="仿宋_GB2312" w:hAnsi="Times New Roman" w:cs="Tahoma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ahoma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ahoma" w:hint="eastAsia"/>
          <w:kern w:val="0"/>
          <w:sz w:val="32"/>
          <w:szCs w:val="32"/>
        </w:rPr>
        <w:t>：</w:t>
      </w:r>
    </w:p>
    <w:p w:rsidR="009A2D66" w:rsidRDefault="009A2D66" w:rsidP="009A2D66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984EC8"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014年高校辅导员工作精品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项目结项评估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情况</w:t>
      </w:r>
      <w:bookmarkEnd w:id="0"/>
    </w:p>
    <w:p w:rsidR="009A2D66" w:rsidRDefault="009A2D66" w:rsidP="009A2D66">
      <w:pPr>
        <w:jc w:val="center"/>
        <w:rPr>
          <w:rFonts w:ascii="楷体_GB2312" w:eastAsia="楷体_GB2312"/>
          <w:sz w:val="30"/>
          <w:szCs w:val="30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2375"/>
        <w:gridCol w:w="5030"/>
        <w:gridCol w:w="1118"/>
        <w:gridCol w:w="1118"/>
      </w:tblGrid>
      <w:tr w:rsidR="009A2D66" w:rsidRPr="00821305" w:rsidTr="007C3987">
        <w:trPr>
          <w:trHeight w:val="64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1305">
              <w:rPr>
                <w:rFonts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1305">
              <w:rPr>
                <w:rFonts w:ascii="仿宋_GB2312" w:eastAsia="仿宋_GB2312" w:hint="eastAsia"/>
                <w:b/>
                <w:sz w:val="28"/>
                <w:szCs w:val="28"/>
              </w:rPr>
              <w:t>申报学校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1305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21305">
              <w:rPr>
                <w:rFonts w:ascii="仿宋_GB2312" w:eastAsia="仿宋_GB2312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21305"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北京大学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教授茶座校园品牌活动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张庆东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优秀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北京科技大学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基于网络的大学生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党员述责测评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系统工程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景  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北京化工大学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大学生人文修养系列课程建设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梁燕亮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中国石油大学（北京）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基于本科生班级的学生精细化管理体系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王英国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华北电力大学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“大学生校官计划”——引导大学生实现提升自己与服务社会双赢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王  家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南开大学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打造“公能”特色美育工作体系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东北大学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新雷锋成长计划——大学生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践行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社会主义核心价值观新载体建设项目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刘云飞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东北大学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选择工作室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初青松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哈尔滨工业大学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学生教育大纲实施计划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苏功臣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哈尔滨工程大学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“读书工程”课程体系建设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杨国庆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复旦大学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社会实践工作室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李  爽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上海交通大学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梦想创新园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杨一帆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东华大学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构建“小课堂大智慧”微党课平台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周铮铮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优秀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南京大学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“雨露课堂”的实践与探索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索文斌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河海大学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乐水学堂——多维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度促进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民族融合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刘金凤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合肥工业大学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滴水涌泉 小行大爱</w:t>
            </w:r>
          </w:p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——大学生感恩励志教育工程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武国剑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721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山东大学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传递正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能量，实现中国梦</w:t>
            </w:r>
          </w:p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——“凡人歌”图文映像系列活动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朱 伟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721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中南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财经政法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基于对象特征的大学生心理危机干预模型构建及应用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刘建明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湖南大学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麓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山会讲讲师团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茹娜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中南大学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微产品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创意工作室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刘正宗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737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中山大学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归根筑底  立德树人</w:t>
            </w:r>
          </w:p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——《宿舍文明公约》项目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陈保瑜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737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西南财经大学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以特色典礼体系搭建大学生思想政治教育</w:t>
            </w:r>
          </w:p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新平台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艾  鸿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西北农林科技大学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蜂巢教室：辅导员开展思想政治教育工作创新模式研究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王吉成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西安电子科技大学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基于大数据分析的学生个性化指导模型的</w:t>
            </w:r>
          </w:p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构建和探索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王卫东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中国药科大学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画同心圆，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圆成才梦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——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高校愿景班级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建设</w:t>
            </w:r>
          </w:p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初探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季景玉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上海海事大学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以目标导向与过程管理的有效结合促大学生学业提升——高校辅导员学业指导模式新探索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包  艳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上海对外经贸大学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创新创业教育专家型辅导员培育工作室</w:t>
            </w:r>
          </w:p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——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基于创享协同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育人模式的探索与实践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高  伟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重庆医科大学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“泛鹰计划”——实行“图钉式”教育管理，多样化培养优秀大学生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詹阿兰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西华大学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红色青春“易”样精彩——大学生党建网络</w:t>
            </w:r>
          </w:p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易班互动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社区建设实践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 xml:space="preserve">王  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福建师范大学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向阳工程——“小葵”系列网络新媒体文化</w:t>
            </w:r>
          </w:p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产品开发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陈志勇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优秀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浙江理工大学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漫画育人 彩绘校园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 xml:space="preserve">胡  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济南大学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《大学生心理健康教育》通选课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侯启海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西华师范大学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依托史剧展演 默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化文化</w:t>
            </w:r>
            <w:proofErr w:type="gramEnd"/>
            <w:r w:rsidRPr="00821305">
              <w:rPr>
                <w:rFonts w:ascii="仿宋_GB2312" w:eastAsia="仿宋_GB2312" w:hint="eastAsia"/>
                <w:sz w:val="24"/>
                <w:szCs w:val="24"/>
              </w:rPr>
              <w:t>育人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王伟</w:t>
            </w:r>
            <w:proofErr w:type="gramStart"/>
            <w:r w:rsidRPr="00821305">
              <w:rPr>
                <w:rFonts w:ascii="仿宋_GB2312" w:eastAsia="仿宋_GB2312" w:hint="eastAsia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湖南师范大学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快乐周末谈 师生连心桥——“辅导员+专兼职导师+大学生”三元互动工作平台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罗  艳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9A2D66" w:rsidRPr="00821305" w:rsidTr="007C3987">
        <w:trPr>
          <w:trHeight w:val="65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3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安庆师范学院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聚焦 笃行：大学生全面发展的有效途径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孙永玉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A2D66" w:rsidRPr="00821305" w:rsidRDefault="009A2D66" w:rsidP="007C39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21305"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</w:tbl>
    <w:p w:rsidR="009A2D66" w:rsidRDefault="009A2D66" w:rsidP="009A2D66">
      <w:pPr>
        <w:widowControl/>
        <w:shd w:val="clear" w:color="auto" w:fill="FFFFFF"/>
        <w:spacing w:line="480" w:lineRule="exact"/>
        <w:rPr>
          <w:rFonts w:ascii="仿宋_GB2312" w:eastAsia="仿宋_GB2312"/>
          <w:sz w:val="30"/>
          <w:szCs w:val="30"/>
        </w:rPr>
      </w:pPr>
    </w:p>
    <w:p w:rsidR="009A2D66" w:rsidRDefault="009A2D66" w:rsidP="009A2D66">
      <w:pPr>
        <w:rPr>
          <w:rFonts w:ascii="仿宋_GB2312" w:eastAsia="仿宋_GB2312"/>
          <w:sz w:val="32"/>
          <w:szCs w:val="32"/>
        </w:rPr>
      </w:pPr>
    </w:p>
    <w:p w:rsidR="00E76E80" w:rsidRDefault="009A2D66" w:rsidP="009A2D66"/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66"/>
    <w:rsid w:val="0010107E"/>
    <w:rsid w:val="00494EC8"/>
    <w:rsid w:val="009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Company>CHINA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2019-12-04T07:12:00Z</dcterms:created>
  <dcterms:modified xsi:type="dcterms:W3CDTF">2019-12-04T07:14:00Z</dcterms:modified>
</cp:coreProperties>
</file>